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6C1" w:rsidRPr="008D7E0B" w:rsidRDefault="00F777BE">
      <w:pPr>
        <w:rPr>
          <w:b/>
          <w:sz w:val="28"/>
          <w:szCs w:val="28"/>
          <w:lang w:val="en-US"/>
        </w:rPr>
      </w:pPr>
      <w:bookmarkStart w:id="0" w:name="_GoBack"/>
      <w:bookmarkEnd w:id="0"/>
      <w:r>
        <w:rPr>
          <w:b/>
          <w:sz w:val="28"/>
          <w:szCs w:val="28"/>
          <w:lang w:val="en-US"/>
        </w:rPr>
        <w:t>Required</w:t>
      </w:r>
      <w:r w:rsidR="00073BA9" w:rsidRPr="008D7E0B">
        <w:rPr>
          <w:b/>
          <w:sz w:val="28"/>
          <w:szCs w:val="28"/>
          <w:lang w:val="en-US"/>
        </w:rPr>
        <w:t xml:space="preserve"> </w:t>
      </w:r>
      <w:r w:rsidR="00BA2BA6" w:rsidRPr="008D7E0B">
        <w:rPr>
          <w:b/>
          <w:sz w:val="28"/>
          <w:szCs w:val="28"/>
          <w:lang w:val="en-US"/>
        </w:rPr>
        <w:t>content</w:t>
      </w:r>
      <w:r w:rsidR="00073BA9" w:rsidRPr="008D7E0B">
        <w:rPr>
          <w:b/>
          <w:sz w:val="28"/>
          <w:szCs w:val="28"/>
          <w:lang w:val="en-US"/>
        </w:rPr>
        <w:t xml:space="preserve"> of Working Paper CLIO-INFRA</w:t>
      </w:r>
    </w:p>
    <w:p w:rsidR="0022249F" w:rsidRDefault="0022249F" w:rsidP="0022249F">
      <w:pPr>
        <w:rPr>
          <w:b/>
          <w:lang w:val="en-US"/>
        </w:rPr>
      </w:pPr>
    </w:p>
    <w:p w:rsidR="008D7E0B" w:rsidRPr="008D7E0B" w:rsidRDefault="008D7E0B" w:rsidP="0022249F">
      <w:pPr>
        <w:rPr>
          <w:b/>
          <w:i/>
          <w:u w:val="single"/>
          <w:lang w:val="en-US"/>
        </w:rPr>
      </w:pPr>
      <w:r w:rsidRPr="008D7E0B">
        <w:rPr>
          <w:b/>
          <w:i/>
          <w:u w:val="single"/>
          <w:lang w:val="en-US"/>
        </w:rPr>
        <w:t>Please include the following elements into any working paper entered into the CLIO-INFRA system:</w:t>
      </w:r>
    </w:p>
    <w:p w:rsidR="009E3A8C" w:rsidRDefault="009E3A8C" w:rsidP="0022249F">
      <w:pPr>
        <w:rPr>
          <w:lang w:val="en-US"/>
        </w:rPr>
      </w:pPr>
    </w:p>
    <w:p w:rsidR="0022249F" w:rsidRPr="00E42E4F" w:rsidRDefault="0022249F" w:rsidP="0022249F">
      <w:pPr>
        <w:rPr>
          <w:lang w:val="en-US"/>
        </w:rPr>
      </w:pPr>
      <w:r w:rsidRPr="00E42E4F">
        <w:rPr>
          <w:lang w:val="en-US"/>
        </w:rPr>
        <w:t>1. Title</w:t>
      </w:r>
    </w:p>
    <w:p w:rsidR="00E42E4F" w:rsidRDefault="00E42E4F" w:rsidP="0022249F">
      <w:pPr>
        <w:rPr>
          <w:lang w:val="en-US"/>
        </w:rPr>
      </w:pPr>
      <w:r>
        <w:rPr>
          <w:lang w:val="en-US"/>
        </w:rPr>
        <w:tab/>
      </w:r>
      <w:r w:rsidR="0086103D">
        <w:rPr>
          <w:lang w:val="en-US"/>
        </w:rPr>
        <w:t>Lead mining</w:t>
      </w:r>
      <w:r w:rsidR="00C04A5B">
        <w:rPr>
          <w:lang w:val="en-US"/>
        </w:rPr>
        <w:t xml:space="preserve"> production </w:t>
      </w:r>
      <w:r w:rsidR="003E3E24">
        <w:rPr>
          <w:lang w:val="en-US"/>
        </w:rPr>
        <w:t>by decade and country</w:t>
      </w:r>
    </w:p>
    <w:p w:rsidR="0022249F" w:rsidRDefault="0022249F" w:rsidP="0022249F">
      <w:pPr>
        <w:rPr>
          <w:lang w:val="en-US"/>
        </w:rPr>
      </w:pPr>
      <w:r w:rsidRPr="00E42E4F">
        <w:rPr>
          <w:lang w:val="en-US"/>
        </w:rPr>
        <w:t>2. Author</w:t>
      </w:r>
      <w:r w:rsidR="00E42E4F">
        <w:rPr>
          <w:lang w:val="en-US"/>
        </w:rPr>
        <w:t>(s)</w:t>
      </w:r>
    </w:p>
    <w:p w:rsidR="00DF2464" w:rsidRPr="00514925" w:rsidRDefault="00DF2464" w:rsidP="003E3E24">
      <w:r>
        <w:rPr>
          <w:lang w:val="en-US"/>
        </w:rPr>
        <w:tab/>
      </w:r>
      <w:r w:rsidR="00C92762" w:rsidRPr="00514925">
        <w:t>Kees Klein Goldewijk</w:t>
      </w:r>
      <w:r w:rsidR="00514925" w:rsidRPr="00514925">
        <w:t xml:space="preserve"> &amp; Jonathan Fink-Jensen</w:t>
      </w:r>
      <w:r w:rsidR="00C92762" w:rsidRPr="00514925">
        <w:t>, Utrecht University</w:t>
      </w:r>
    </w:p>
    <w:p w:rsidR="0022249F" w:rsidRPr="00E42E4F" w:rsidRDefault="00DF2464" w:rsidP="0022249F">
      <w:pPr>
        <w:rPr>
          <w:lang w:val="en-US"/>
        </w:rPr>
      </w:pPr>
      <w:r>
        <w:rPr>
          <w:lang w:val="en-US"/>
        </w:rPr>
        <w:t>3</w:t>
      </w:r>
      <w:r w:rsidR="0022249F" w:rsidRPr="00E42E4F">
        <w:rPr>
          <w:lang w:val="en-US"/>
        </w:rPr>
        <w:t>. Production date</w:t>
      </w:r>
    </w:p>
    <w:p w:rsidR="00DF2464" w:rsidRDefault="00DF2464" w:rsidP="0022249F">
      <w:pPr>
        <w:rPr>
          <w:lang w:val="en-US"/>
        </w:rPr>
      </w:pPr>
      <w:r>
        <w:rPr>
          <w:lang w:val="en-US"/>
        </w:rPr>
        <w:tab/>
      </w:r>
      <w:r w:rsidR="00425021">
        <w:rPr>
          <w:lang w:val="en-US"/>
        </w:rPr>
        <w:t>201</w:t>
      </w:r>
      <w:r w:rsidR="00514925">
        <w:rPr>
          <w:lang w:val="en-US"/>
        </w:rPr>
        <w:t>4</w:t>
      </w:r>
      <w:r w:rsidR="00425021">
        <w:rPr>
          <w:lang w:val="en-US"/>
        </w:rPr>
        <w:t>-</w:t>
      </w:r>
      <w:r w:rsidR="00514925">
        <w:rPr>
          <w:lang w:val="en-US"/>
        </w:rPr>
        <w:t>11</w:t>
      </w:r>
      <w:r w:rsidR="00425021">
        <w:rPr>
          <w:lang w:val="en-US"/>
        </w:rPr>
        <w:t>-</w:t>
      </w:r>
      <w:r w:rsidR="0086103D">
        <w:rPr>
          <w:lang w:val="en-US"/>
        </w:rPr>
        <w:t>1</w:t>
      </w:r>
      <w:r w:rsidR="008D7E0B">
        <w:rPr>
          <w:lang w:val="en-US"/>
        </w:rPr>
        <w:t>.</w:t>
      </w:r>
    </w:p>
    <w:p w:rsidR="0022249F" w:rsidRPr="00E42E4F" w:rsidRDefault="008D7E0B" w:rsidP="0022249F">
      <w:pPr>
        <w:rPr>
          <w:lang w:val="en-US"/>
        </w:rPr>
      </w:pPr>
      <w:r>
        <w:rPr>
          <w:lang w:val="en-US"/>
        </w:rPr>
        <w:t>4</w:t>
      </w:r>
      <w:r w:rsidR="0022249F" w:rsidRPr="00E42E4F">
        <w:rPr>
          <w:lang w:val="en-US"/>
        </w:rPr>
        <w:t>. Version</w:t>
      </w:r>
    </w:p>
    <w:p w:rsidR="008D7E0B" w:rsidRDefault="008D7E0B" w:rsidP="0022249F">
      <w:pPr>
        <w:rPr>
          <w:lang w:val="en-US"/>
        </w:rPr>
      </w:pPr>
      <w:r>
        <w:rPr>
          <w:lang w:val="en-US"/>
        </w:rPr>
        <w:tab/>
      </w:r>
      <w:r w:rsidR="003E3E24">
        <w:rPr>
          <w:lang w:val="en-US"/>
        </w:rPr>
        <w:t>1</w:t>
      </w:r>
    </w:p>
    <w:p w:rsidR="0022249F" w:rsidRPr="00E42E4F" w:rsidRDefault="008D7E0B" w:rsidP="0022249F">
      <w:pPr>
        <w:rPr>
          <w:lang w:val="en-US"/>
        </w:rPr>
      </w:pPr>
      <w:r>
        <w:rPr>
          <w:lang w:val="en-US"/>
        </w:rPr>
        <w:t>5</w:t>
      </w:r>
      <w:r w:rsidR="0022249F" w:rsidRPr="00E42E4F">
        <w:rPr>
          <w:lang w:val="en-US"/>
        </w:rPr>
        <w:t>. Variable group</w:t>
      </w:r>
      <w:r>
        <w:rPr>
          <w:lang w:val="en-US"/>
        </w:rPr>
        <w:t>(s)</w:t>
      </w:r>
    </w:p>
    <w:p w:rsidR="008D7E0B" w:rsidRDefault="008D7E0B" w:rsidP="0022249F">
      <w:pPr>
        <w:rPr>
          <w:lang w:val="en-US"/>
        </w:rPr>
      </w:pPr>
      <w:r>
        <w:rPr>
          <w:lang w:val="en-US"/>
        </w:rPr>
        <w:tab/>
      </w:r>
      <w:r w:rsidR="00C92762">
        <w:rPr>
          <w:lang w:val="en-US"/>
        </w:rPr>
        <w:t>Environmental sustainability</w:t>
      </w:r>
    </w:p>
    <w:p w:rsidR="0022249F" w:rsidRDefault="008D7E0B" w:rsidP="0022249F">
      <w:pPr>
        <w:rPr>
          <w:lang w:val="en-US"/>
        </w:rPr>
      </w:pPr>
      <w:r>
        <w:rPr>
          <w:lang w:val="en-US"/>
        </w:rPr>
        <w:t>6</w:t>
      </w:r>
      <w:r w:rsidR="0022249F" w:rsidRPr="00E42E4F">
        <w:rPr>
          <w:lang w:val="en-US"/>
        </w:rPr>
        <w:t>. Variable</w:t>
      </w:r>
      <w:r>
        <w:rPr>
          <w:lang w:val="en-US"/>
        </w:rPr>
        <w:t>(s)</w:t>
      </w:r>
    </w:p>
    <w:p w:rsidR="008D7E0B" w:rsidRPr="00E42E4F" w:rsidRDefault="008D7E0B" w:rsidP="0022249F">
      <w:pPr>
        <w:rPr>
          <w:lang w:val="en-US"/>
        </w:rPr>
      </w:pPr>
      <w:r>
        <w:rPr>
          <w:lang w:val="en-US"/>
        </w:rPr>
        <w:tab/>
      </w:r>
      <w:r w:rsidR="0086103D">
        <w:rPr>
          <w:lang w:val="en-US"/>
        </w:rPr>
        <w:t>Lead mine</w:t>
      </w:r>
      <w:r w:rsidR="00C04A5B">
        <w:rPr>
          <w:lang w:val="en-US"/>
        </w:rPr>
        <w:t xml:space="preserve"> production, in metric tons</w:t>
      </w:r>
    </w:p>
    <w:p w:rsidR="0022249F" w:rsidRPr="00E42E4F" w:rsidRDefault="008D7E0B" w:rsidP="0022249F">
      <w:pPr>
        <w:rPr>
          <w:lang w:val="en-US"/>
        </w:rPr>
      </w:pPr>
      <w:r>
        <w:rPr>
          <w:lang w:val="en-US"/>
        </w:rPr>
        <w:t>7</w:t>
      </w:r>
      <w:r w:rsidR="0022249F" w:rsidRPr="00E42E4F">
        <w:rPr>
          <w:lang w:val="en-US"/>
        </w:rPr>
        <w:t>. Unit of analysis</w:t>
      </w:r>
    </w:p>
    <w:p w:rsidR="008D7E0B" w:rsidRDefault="00E3589C" w:rsidP="003E3E24">
      <w:pPr>
        <w:rPr>
          <w:lang w:val="en-US"/>
        </w:rPr>
      </w:pPr>
      <w:r>
        <w:rPr>
          <w:lang w:val="en-US"/>
        </w:rPr>
        <w:tab/>
      </w:r>
      <w:r w:rsidR="003E3E24">
        <w:rPr>
          <w:lang w:val="en-US"/>
        </w:rPr>
        <w:t>Country</w:t>
      </w:r>
    </w:p>
    <w:p w:rsidR="0022249F" w:rsidRDefault="00E3589C" w:rsidP="0022249F">
      <w:pPr>
        <w:rPr>
          <w:lang w:val="en-US"/>
        </w:rPr>
      </w:pPr>
      <w:r>
        <w:rPr>
          <w:lang w:val="en-US"/>
        </w:rPr>
        <w:t>8</w:t>
      </w:r>
      <w:r w:rsidR="0022249F" w:rsidRPr="00E42E4F">
        <w:rPr>
          <w:lang w:val="en-US"/>
        </w:rPr>
        <w:t>. Keywords (5)</w:t>
      </w:r>
    </w:p>
    <w:p w:rsidR="00E3589C" w:rsidRPr="00E42E4F" w:rsidRDefault="00E3589C" w:rsidP="0022249F">
      <w:pPr>
        <w:rPr>
          <w:lang w:val="en-US"/>
        </w:rPr>
      </w:pPr>
      <w:r>
        <w:rPr>
          <w:lang w:val="en-US"/>
        </w:rPr>
        <w:tab/>
      </w:r>
      <w:r w:rsidR="0086103D">
        <w:rPr>
          <w:lang w:val="en-US"/>
        </w:rPr>
        <w:t>Lead</w:t>
      </w:r>
    </w:p>
    <w:p w:rsidR="00E3589C" w:rsidRDefault="00E3589C" w:rsidP="00837923">
      <w:pPr>
        <w:rPr>
          <w:lang w:val="en-US"/>
        </w:rPr>
      </w:pPr>
      <w:r w:rsidRPr="00837923">
        <w:rPr>
          <w:lang w:val="en-US"/>
        </w:rPr>
        <w:t>9</w:t>
      </w:r>
      <w:r w:rsidR="0022249F" w:rsidRPr="00837923">
        <w:rPr>
          <w:lang w:val="en-US"/>
        </w:rPr>
        <w:t>. Abstract (200 words)</w:t>
      </w:r>
    </w:p>
    <w:p w:rsidR="00254101" w:rsidRPr="00C37B8D" w:rsidRDefault="00254101" w:rsidP="00254101">
      <w:pPr>
        <w:pStyle w:val="Normaalweb"/>
        <w:ind w:left="709"/>
        <w:rPr>
          <w:rFonts w:ascii="Calibri" w:hAnsi="Calibri"/>
          <w:color w:val="000000"/>
          <w:lang w:val="en"/>
        </w:rPr>
      </w:pPr>
      <w:r w:rsidRPr="00C37B8D">
        <w:rPr>
          <w:rFonts w:ascii="Calibri" w:hAnsi="Calibri"/>
          <w:color w:val="000000"/>
          <w:lang w:val="en"/>
        </w:rPr>
        <w:t>Lead is a very corrosion-resistant, dense, ductile, and malleable blue-gray metal that has been used for at least 5,000 years.   Early uses of lead included building materials, pigments for glazing ceramics, and pipes for transporting water.   The castles and cathedrals of Europe contain considerable quantities of lead in decorative fixtures, roofs, pipes, and windows.   Prior to the early 1900s, uses of lead in the United States were primarily for ammunition, brass, burial vault liners, ceramic glazes, leaded glass and crystal, paints or other protective coatings, pewter, and water lines and pipes.   The advent of the electrical age and communications, which were accelerated by technological developments in World War I, resulted in the addition of bearing metals, cable covering, caulking lead, solders, and type metal to the list of lead uses.   With the growth in production of public and private motorized vehicles and the associated use of starting-lighting-ignition (SLI) lead-acid storage batteries and terne metal for gas tanks after World War I, demand for lead increased.   Most of these uses for lead continued to increase with the growth in population and the national economy.   Contributing to the increase in demand for lead was the use of lead as radiation shielding in medical analysis and video display equipment and as an additive in gasoline.</w:t>
      </w:r>
    </w:p>
    <w:p w:rsidR="00254101" w:rsidRPr="00C37B8D" w:rsidRDefault="00254101" w:rsidP="00254101">
      <w:pPr>
        <w:pStyle w:val="Normaalweb"/>
        <w:ind w:left="709"/>
        <w:rPr>
          <w:rFonts w:ascii="Calibri" w:hAnsi="Calibri"/>
          <w:color w:val="000000"/>
          <w:lang w:val="en"/>
        </w:rPr>
      </w:pPr>
      <w:r w:rsidRPr="00C37B8D">
        <w:rPr>
          <w:rFonts w:ascii="Calibri" w:hAnsi="Calibri"/>
          <w:color w:val="000000"/>
          <w:lang w:val="en"/>
        </w:rPr>
        <w:t xml:space="preserve">By the mid-1980s, a significant shift in lead end-use patterns had taken place.   Much of this shift was a result of the U.S. lead consumers compliance with environmental regulations that significantly reduced or eliminated the use of lead in nonbattery products, including gasoline, paints, solders, and water systems.   More recently, as the use of lead in nonbattery products has continued to decline, the demand for lead in SLI-type batteries has continued to grow.   In addition, the demand for lead in non-SLI battery applications also has continued to grow.   Non-SLI battery applications include motive sources of power for industrial forklifts, airport ground equipment, mining equipment, and a variety of nonroad utility vehicles, as well as stationary </w:t>
      </w:r>
      <w:r w:rsidRPr="00C37B8D">
        <w:rPr>
          <w:rFonts w:ascii="Calibri" w:hAnsi="Calibri"/>
          <w:color w:val="000000"/>
          <w:lang w:val="en"/>
        </w:rPr>
        <w:lastRenderedPageBreak/>
        <w:t>sources of power in uninterruptible electric power systems for hospitals, computer and telecommunications networks, and load-leveling equipment for electric utility companies.   By the early 2000s, the total demand for lead in all types of lead-acid storage batteries represented 88% of apparent U.S. lead consumption.   Other significant uses included ammunition (3%), oxides in glass and ceramics (3%), casting metals (2%), and sheet lead (1%).   The remainder was consumed in solders, bearing metals, brass and bronze billets, covering for cable, caulking lead, and extruded products.</w:t>
      </w:r>
    </w:p>
    <w:p w:rsidR="0022249F" w:rsidRPr="00837923" w:rsidRDefault="0022249F" w:rsidP="00837923">
      <w:pPr>
        <w:rPr>
          <w:lang w:val="en-US"/>
        </w:rPr>
      </w:pPr>
      <w:r w:rsidRPr="00837923">
        <w:rPr>
          <w:lang w:val="en-US"/>
        </w:rPr>
        <w:t>1</w:t>
      </w:r>
      <w:r w:rsidR="00C16C16" w:rsidRPr="00837923">
        <w:rPr>
          <w:lang w:val="en-US"/>
        </w:rPr>
        <w:t>0</w:t>
      </w:r>
      <w:r w:rsidRPr="00837923">
        <w:rPr>
          <w:lang w:val="en-US"/>
        </w:rPr>
        <w:t>. Time period</w:t>
      </w:r>
    </w:p>
    <w:p w:rsidR="00C16C16" w:rsidRDefault="00C16C16" w:rsidP="0022249F">
      <w:pPr>
        <w:rPr>
          <w:lang w:val="en-US"/>
        </w:rPr>
      </w:pPr>
      <w:r>
        <w:rPr>
          <w:lang w:val="en-US"/>
        </w:rPr>
        <w:tab/>
      </w:r>
      <w:r w:rsidR="003E3E24">
        <w:rPr>
          <w:lang w:val="en-US"/>
        </w:rPr>
        <w:t>1</w:t>
      </w:r>
      <w:r w:rsidR="00514925">
        <w:rPr>
          <w:lang w:val="en-US"/>
        </w:rPr>
        <w:t>7</w:t>
      </w:r>
      <w:r w:rsidR="003E3E24">
        <w:rPr>
          <w:lang w:val="en-US"/>
        </w:rPr>
        <w:t>0</w:t>
      </w:r>
      <w:r w:rsidR="00514925">
        <w:rPr>
          <w:lang w:val="en-US"/>
        </w:rPr>
        <w:t>5</w:t>
      </w:r>
      <w:r w:rsidR="003E3E24">
        <w:rPr>
          <w:lang w:val="en-US"/>
        </w:rPr>
        <w:t xml:space="preserve"> -</w:t>
      </w:r>
      <w:r w:rsidR="00514925">
        <w:rPr>
          <w:lang w:val="en-US"/>
        </w:rPr>
        <w:t>2012</w:t>
      </w:r>
    </w:p>
    <w:p w:rsidR="0022249F" w:rsidRPr="00E42E4F" w:rsidRDefault="0022249F" w:rsidP="0022249F">
      <w:pPr>
        <w:rPr>
          <w:lang w:val="en-US"/>
        </w:rPr>
      </w:pPr>
      <w:r w:rsidRPr="00E42E4F">
        <w:rPr>
          <w:lang w:val="en-US"/>
        </w:rPr>
        <w:t>1</w:t>
      </w:r>
      <w:r w:rsidR="00C16C16">
        <w:rPr>
          <w:lang w:val="en-US"/>
        </w:rPr>
        <w:t>1</w:t>
      </w:r>
      <w:r w:rsidRPr="00E42E4F">
        <w:rPr>
          <w:lang w:val="en-US"/>
        </w:rPr>
        <w:t>. Geographical coverage</w:t>
      </w:r>
    </w:p>
    <w:p w:rsidR="003132A6" w:rsidRDefault="003E3E24" w:rsidP="00BA2BA6">
      <w:pPr>
        <w:rPr>
          <w:lang w:val="en-US"/>
        </w:rPr>
      </w:pPr>
      <w:r>
        <w:rPr>
          <w:lang w:val="en-US"/>
        </w:rPr>
        <w:tab/>
        <w:t>Worldwide</w:t>
      </w:r>
    </w:p>
    <w:p w:rsidR="00254101" w:rsidRDefault="00BA2BA6" w:rsidP="00254101">
      <w:pPr>
        <w:rPr>
          <w:lang w:val="en-US"/>
        </w:rPr>
      </w:pPr>
      <w:r w:rsidRPr="00E42E4F">
        <w:rPr>
          <w:lang w:val="en-US"/>
        </w:rPr>
        <w:t>1</w:t>
      </w:r>
      <w:r w:rsidR="003132A6">
        <w:rPr>
          <w:lang w:val="en-US"/>
        </w:rPr>
        <w:t>2</w:t>
      </w:r>
      <w:r w:rsidRPr="00E42E4F">
        <w:rPr>
          <w:lang w:val="en-US"/>
        </w:rPr>
        <w:t>. Methodologies used for data collection and processing</w:t>
      </w:r>
    </w:p>
    <w:p w:rsidR="00F83003" w:rsidRPr="00460F8A" w:rsidRDefault="00C04A5B" w:rsidP="00254101">
      <w:pPr>
        <w:ind w:firstLine="708"/>
        <w:rPr>
          <w:lang w:val="en-US"/>
        </w:rPr>
      </w:pPr>
      <w:r w:rsidRPr="00460F8A">
        <w:rPr>
          <w:rFonts w:cs="Calibri"/>
          <w:lang w:val="en-US"/>
        </w:rPr>
        <w:t>Data inventory</w:t>
      </w:r>
    </w:p>
    <w:p w:rsidR="0022249F" w:rsidRPr="00E42E4F" w:rsidRDefault="003132A6" w:rsidP="00254101">
      <w:pPr>
        <w:rPr>
          <w:lang w:val="en-US"/>
        </w:rPr>
      </w:pPr>
      <w:r>
        <w:rPr>
          <w:lang w:val="en-US"/>
        </w:rPr>
        <w:t>13</w:t>
      </w:r>
      <w:r w:rsidR="0022249F" w:rsidRPr="00E42E4F">
        <w:rPr>
          <w:lang w:val="en-US"/>
        </w:rPr>
        <w:t>. Data quality</w:t>
      </w:r>
    </w:p>
    <w:p w:rsidR="00397401" w:rsidRDefault="003132A6" w:rsidP="004F370D">
      <w:pPr>
        <w:rPr>
          <w:lang w:val="en-US"/>
        </w:rPr>
      </w:pPr>
      <w:r>
        <w:rPr>
          <w:lang w:val="en-US"/>
        </w:rPr>
        <w:tab/>
      </w:r>
      <w:r w:rsidR="00C04A5B">
        <w:rPr>
          <w:lang w:val="en-US"/>
        </w:rPr>
        <w:t>Good</w:t>
      </w:r>
    </w:p>
    <w:p w:rsidR="0022249F" w:rsidRPr="00E42E4F" w:rsidRDefault="003132A6" w:rsidP="0022249F">
      <w:pPr>
        <w:rPr>
          <w:lang w:val="en-US"/>
        </w:rPr>
      </w:pPr>
      <w:r>
        <w:rPr>
          <w:lang w:val="en-US"/>
        </w:rPr>
        <w:t>14</w:t>
      </w:r>
      <w:r w:rsidR="0022249F" w:rsidRPr="00E42E4F">
        <w:rPr>
          <w:lang w:val="en-US"/>
        </w:rPr>
        <w:t>. Date of collection</w:t>
      </w:r>
    </w:p>
    <w:p w:rsidR="003132A6" w:rsidRDefault="003132A6" w:rsidP="0022249F">
      <w:pPr>
        <w:rPr>
          <w:lang w:val="en-US"/>
        </w:rPr>
      </w:pPr>
      <w:r>
        <w:rPr>
          <w:lang w:val="en-US"/>
        </w:rPr>
        <w:tab/>
      </w:r>
      <w:r w:rsidR="00C608A3">
        <w:rPr>
          <w:lang w:val="en-US"/>
        </w:rPr>
        <w:t>-</w:t>
      </w:r>
    </w:p>
    <w:p w:rsidR="0022249F" w:rsidRPr="00E42E4F" w:rsidRDefault="003132A6" w:rsidP="0022249F">
      <w:pPr>
        <w:rPr>
          <w:lang w:val="en-US"/>
        </w:rPr>
      </w:pPr>
      <w:r>
        <w:rPr>
          <w:lang w:val="en-US"/>
        </w:rPr>
        <w:t>15</w:t>
      </w:r>
      <w:r w:rsidR="0022249F" w:rsidRPr="00E42E4F">
        <w:rPr>
          <w:lang w:val="en-US"/>
        </w:rPr>
        <w:t>. Data collectors</w:t>
      </w:r>
    </w:p>
    <w:p w:rsidR="003132A6" w:rsidRPr="002F1E8F" w:rsidRDefault="003132A6" w:rsidP="002F1E8F">
      <w:pPr>
        <w:rPr>
          <w:lang w:val="en-US"/>
        </w:rPr>
      </w:pPr>
      <w:r>
        <w:rPr>
          <w:lang w:val="en-US"/>
        </w:rPr>
        <w:tab/>
      </w:r>
      <w:hyperlink r:id="rId5" w:history="1">
        <w:r w:rsidR="002F1E8F" w:rsidRPr="002F1E8F">
          <w:rPr>
            <w:rStyle w:val="Hyperlink"/>
            <w:color w:val="auto"/>
            <w:u w:val="none"/>
            <w:lang w:val="en-US"/>
          </w:rPr>
          <w:t xml:space="preserve">U.S. </w:t>
        </w:r>
      </w:hyperlink>
      <w:r w:rsidR="001A7505" w:rsidRPr="00254101">
        <w:rPr>
          <w:lang w:val="en-US"/>
        </w:rPr>
        <w:t>Bureau of Mines</w:t>
      </w:r>
      <w:r w:rsidR="002F1E8F" w:rsidRPr="002F1E8F">
        <w:rPr>
          <w:lang w:val="en-US"/>
        </w:rPr>
        <w:t xml:space="preserve">, </w:t>
      </w:r>
      <w:hyperlink r:id="rId6" w:history="1">
        <w:r w:rsidR="002F1E8F" w:rsidRPr="002F1E8F">
          <w:rPr>
            <w:rStyle w:val="Hyperlink"/>
            <w:color w:val="auto"/>
            <w:u w:val="none"/>
            <w:lang w:val="en-US"/>
          </w:rPr>
          <w:t>U.S. Geological Survey</w:t>
        </w:r>
      </w:hyperlink>
      <w:r w:rsidR="002F1E8F" w:rsidRPr="002F1E8F">
        <w:rPr>
          <w:lang w:val="en-US"/>
        </w:rPr>
        <w:t xml:space="preserve"> (</w:t>
      </w:r>
      <w:r w:rsidR="00C04A5B" w:rsidRPr="002F1E8F">
        <w:rPr>
          <w:lang w:val="en-US"/>
        </w:rPr>
        <w:t>USGS</w:t>
      </w:r>
      <w:r w:rsidR="002F1E8F" w:rsidRPr="002F1E8F">
        <w:rPr>
          <w:lang w:val="en-US"/>
        </w:rPr>
        <w:t>).</w:t>
      </w:r>
    </w:p>
    <w:p w:rsidR="0022249F" w:rsidRDefault="00BA2BA6" w:rsidP="003132A6">
      <w:pPr>
        <w:rPr>
          <w:lang w:val="en-US"/>
        </w:rPr>
      </w:pPr>
      <w:r w:rsidRPr="00E42E4F">
        <w:rPr>
          <w:lang w:val="en-US"/>
        </w:rPr>
        <w:t>1</w:t>
      </w:r>
      <w:r w:rsidR="003132A6">
        <w:rPr>
          <w:lang w:val="en-US"/>
        </w:rPr>
        <w:t>6</w:t>
      </w:r>
      <w:r w:rsidR="0022249F" w:rsidRPr="00E42E4F">
        <w:rPr>
          <w:lang w:val="en-US"/>
        </w:rPr>
        <w:t>. Sources</w:t>
      </w:r>
    </w:p>
    <w:p w:rsidR="00701732" w:rsidRDefault="00701732" w:rsidP="00701732">
      <w:pPr>
        <w:ind w:left="720" w:hanging="12"/>
        <w:rPr>
          <w:rFonts w:cs="Calibri"/>
          <w:noProof/>
          <w:lang w:val="en-US"/>
        </w:rPr>
      </w:pPr>
      <w:r>
        <w:rPr>
          <w:rFonts w:cs="Calibri"/>
          <w:lang w:val="en-US"/>
        </w:rPr>
        <w:fldChar w:fldCharType="begin"/>
      </w:r>
      <w:r>
        <w:rPr>
          <w:rFonts w:cs="Calibri"/>
          <w:lang w:val="en-US"/>
        </w:rPr>
        <w:instrText xml:space="preserve"> ADDIN EN.REFLIST </w:instrText>
      </w:r>
      <w:r>
        <w:rPr>
          <w:rFonts w:cs="Calibri"/>
          <w:lang w:val="en-US"/>
        </w:rPr>
        <w:fldChar w:fldCharType="separate"/>
      </w:r>
      <w:bookmarkStart w:id="1" w:name="_ENREF_1"/>
      <w:r>
        <w:rPr>
          <w:rFonts w:cs="Calibri"/>
          <w:noProof/>
          <w:lang w:val="en-US"/>
        </w:rPr>
        <w:t xml:space="preserve">Metallgesellschaft (1991) </w:t>
      </w:r>
      <w:r w:rsidRPr="00701732">
        <w:rPr>
          <w:rFonts w:cs="Calibri"/>
          <w:i/>
          <w:noProof/>
          <w:lang w:val="en-US"/>
        </w:rPr>
        <w:t>Metallstatistik 1980-1990</w:t>
      </w:r>
      <w:r>
        <w:rPr>
          <w:rFonts w:cs="Calibri"/>
          <w:noProof/>
          <w:lang w:val="en-US"/>
        </w:rPr>
        <w:t>. Druckerei C. Adelmann, Frankfurt am Main.</w:t>
      </w:r>
      <w:bookmarkEnd w:id="1"/>
    </w:p>
    <w:p w:rsidR="00701732" w:rsidRDefault="00701732" w:rsidP="00701732">
      <w:pPr>
        <w:ind w:left="720" w:hanging="12"/>
        <w:rPr>
          <w:rFonts w:cs="Calibri"/>
          <w:noProof/>
          <w:lang w:val="en-US"/>
        </w:rPr>
      </w:pPr>
      <w:bookmarkStart w:id="2" w:name="_ENREF_2"/>
    </w:p>
    <w:p w:rsidR="00701732" w:rsidRDefault="00701732" w:rsidP="00701732">
      <w:pPr>
        <w:ind w:left="720" w:hanging="12"/>
        <w:rPr>
          <w:rFonts w:cs="Calibri"/>
          <w:noProof/>
          <w:lang w:val="en-US"/>
        </w:rPr>
      </w:pPr>
      <w:r>
        <w:rPr>
          <w:rFonts w:cs="Calibri"/>
          <w:noProof/>
          <w:lang w:val="en-US"/>
        </w:rPr>
        <w:t xml:space="preserve">Schmitz, C.J. (1979) </w:t>
      </w:r>
      <w:r w:rsidRPr="00701732">
        <w:rPr>
          <w:rFonts w:cs="Calibri"/>
          <w:i/>
          <w:noProof/>
          <w:lang w:val="en-US"/>
        </w:rPr>
        <w:t>World non-ferrous metal production and prices, 1700 - 1976</w:t>
      </w:r>
      <w:r>
        <w:rPr>
          <w:rFonts w:cs="Calibri"/>
          <w:noProof/>
          <w:lang w:val="en-US"/>
        </w:rPr>
        <w:t>. Frank Cass, London.</w:t>
      </w:r>
      <w:bookmarkEnd w:id="2"/>
    </w:p>
    <w:p w:rsidR="00701732" w:rsidRDefault="00701732" w:rsidP="00701732">
      <w:pPr>
        <w:ind w:left="720" w:hanging="12"/>
        <w:rPr>
          <w:rFonts w:cs="Calibri"/>
          <w:noProof/>
          <w:lang w:val="en-US"/>
        </w:rPr>
      </w:pPr>
    </w:p>
    <w:p w:rsidR="00701732" w:rsidRDefault="00701732" w:rsidP="00701732">
      <w:pPr>
        <w:ind w:left="720" w:hanging="12"/>
        <w:rPr>
          <w:rFonts w:cs="Calibri"/>
          <w:noProof/>
          <w:lang w:val="en-US"/>
        </w:rPr>
      </w:pPr>
      <w:bookmarkStart w:id="3" w:name="_ENREF_3"/>
      <w:r>
        <w:rPr>
          <w:rFonts w:cs="Calibri"/>
          <w:noProof/>
          <w:lang w:val="en-US"/>
        </w:rPr>
        <w:t>USBM (1985) Mineral Commodity Report. In. U.S. Bureau of Mines, USA.</w:t>
      </w:r>
      <w:bookmarkEnd w:id="3"/>
    </w:p>
    <w:p w:rsidR="00701732" w:rsidRDefault="00701732" w:rsidP="00701732">
      <w:pPr>
        <w:ind w:left="720" w:hanging="12"/>
        <w:rPr>
          <w:rFonts w:cs="Calibri"/>
          <w:noProof/>
          <w:lang w:val="en-US"/>
        </w:rPr>
      </w:pPr>
    </w:p>
    <w:p w:rsidR="00701732" w:rsidRDefault="00701732" w:rsidP="00701732">
      <w:pPr>
        <w:ind w:left="720" w:hanging="12"/>
        <w:rPr>
          <w:rFonts w:cs="Calibri"/>
          <w:noProof/>
          <w:lang w:val="en-US"/>
        </w:rPr>
      </w:pPr>
      <w:bookmarkStart w:id="4" w:name="_ENREF_4"/>
      <w:r>
        <w:rPr>
          <w:rFonts w:cs="Calibri"/>
          <w:noProof/>
          <w:lang w:val="en-US"/>
        </w:rPr>
        <w:t xml:space="preserve">USGS (2009) Mineral commodities. In. U.S. Geological Survey, in Kelly, T.D., and Matos, G.R., comps., Historical statistics for mineral and material commodities in the United States: U.S. Geological Survey Data Series 140, available online at </w:t>
      </w:r>
      <w:hyperlink r:id="rId7" w:history="1">
        <w:r w:rsidRPr="00701732">
          <w:rPr>
            <w:rStyle w:val="Hyperlink"/>
            <w:rFonts w:cs="Calibri"/>
            <w:noProof/>
            <w:lang w:val="en-US"/>
          </w:rPr>
          <w:t>http://pubs.usgs.gov/ds/2005/140/</w:t>
        </w:r>
      </w:hyperlink>
      <w:r>
        <w:rPr>
          <w:rFonts w:cs="Calibri"/>
          <w:noProof/>
          <w:lang w:val="en-US"/>
        </w:rPr>
        <w:t>. .</w:t>
      </w:r>
      <w:bookmarkEnd w:id="4"/>
    </w:p>
    <w:p w:rsidR="00701732" w:rsidRDefault="00701732" w:rsidP="00701732">
      <w:pPr>
        <w:rPr>
          <w:rFonts w:cs="Calibri"/>
          <w:noProof/>
          <w:lang w:val="en-US"/>
        </w:rPr>
      </w:pPr>
    </w:p>
    <w:p w:rsidR="0017053C" w:rsidRDefault="00701732" w:rsidP="004E74F1">
      <w:pPr>
        <w:ind w:left="709"/>
        <w:rPr>
          <w:rFonts w:cs="Calibri"/>
          <w:lang w:val="en-US"/>
        </w:rPr>
      </w:pPr>
      <w:r>
        <w:rPr>
          <w:rFonts w:cs="Calibri"/>
          <w:lang w:val="en-US"/>
        </w:rPr>
        <w:fldChar w:fldCharType="end"/>
      </w:r>
    </w:p>
    <w:p w:rsidR="00C37B8D" w:rsidRDefault="00C37B8D" w:rsidP="004E74F1">
      <w:pPr>
        <w:ind w:left="709"/>
        <w:rPr>
          <w:rFonts w:cs="Calibri"/>
          <w:lang w:val="en-US"/>
        </w:rPr>
      </w:pPr>
    </w:p>
    <w:p w:rsidR="00C37B8D" w:rsidRPr="0034320D" w:rsidRDefault="00C32D81" w:rsidP="004E74F1">
      <w:pPr>
        <w:ind w:left="709"/>
        <w:rPr>
          <w:rFonts w:cs="Calibri"/>
          <w:lang w:val="en-US"/>
        </w:rPr>
      </w:pPr>
      <w:r w:rsidRPr="00C37B8D">
        <w:rPr>
          <w:noProof/>
          <w:lang w:eastAsia="nl-NL"/>
        </w:rPr>
        <w:lastRenderedPageBreak/>
        <w:drawing>
          <wp:inline distT="0" distB="0" distL="0" distR="0">
            <wp:extent cx="4568825" cy="2740025"/>
            <wp:effectExtent l="0" t="0" r="3175" b="317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C37B8D" w:rsidRPr="0034320D" w:rsidSect="007A5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B3FB0"/>
    <w:multiLevelType w:val="multilevel"/>
    <w:tmpl w:val="2778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1C3B87"/>
    <w:multiLevelType w:val="multilevel"/>
    <w:tmpl w:val="C3F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Glob Ecol Biogeog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vrswra2bs05whe9wzrv2xzewztserdaa5r0&quot;&gt;HYDE&lt;record-ids&gt;&lt;item&gt;1097&lt;/item&gt;&lt;item&gt;1138&lt;/item&gt;&lt;item&gt;1140&lt;/item&gt;&lt;item&gt;1143&lt;/item&gt;&lt;/record-ids&gt;&lt;/item&gt;&lt;/Libraries&gt;"/>
  </w:docVars>
  <w:rsids>
    <w:rsidRoot w:val="00073BA9"/>
    <w:rsid w:val="0001485D"/>
    <w:rsid w:val="000558DF"/>
    <w:rsid w:val="00073BA9"/>
    <w:rsid w:val="000C643A"/>
    <w:rsid w:val="0017053C"/>
    <w:rsid w:val="001A7505"/>
    <w:rsid w:val="002004D8"/>
    <w:rsid w:val="0022249F"/>
    <w:rsid w:val="00254101"/>
    <w:rsid w:val="00293FEA"/>
    <w:rsid w:val="002B22C9"/>
    <w:rsid w:val="002C4B3C"/>
    <w:rsid w:val="002F1E8F"/>
    <w:rsid w:val="003132A6"/>
    <w:rsid w:val="0034320D"/>
    <w:rsid w:val="00381BA2"/>
    <w:rsid w:val="00397401"/>
    <w:rsid w:val="003A1CAB"/>
    <w:rsid w:val="003A7023"/>
    <w:rsid w:val="003E3E24"/>
    <w:rsid w:val="00425021"/>
    <w:rsid w:val="00460F8A"/>
    <w:rsid w:val="004874D8"/>
    <w:rsid w:val="0049543E"/>
    <w:rsid w:val="004A6AB6"/>
    <w:rsid w:val="004E371B"/>
    <w:rsid w:val="004E74F1"/>
    <w:rsid w:val="004F370D"/>
    <w:rsid w:val="00514925"/>
    <w:rsid w:val="00547BD8"/>
    <w:rsid w:val="0055190C"/>
    <w:rsid w:val="005D7DE0"/>
    <w:rsid w:val="00602002"/>
    <w:rsid w:val="006E5069"/>
    <w:rsid w:val="00701732"/>
    <w:rsid w:val="00746BB5"/>
    <w:rsid w:val="00752D83"/>
    <w:rsid w:val="00780B6A"/>
    <w:rsid w:val="0078576F"/>
    <w:rsid w:val="007A56C1"/>
    <w:rsid w:val="00837923"/>
    <w:rsid w:val="0086103D"/>
    <w:rsid w:val="008B35C4"/>
    <w:rsid w:val="008C2A88"/>
    <w:rsid w:val="008D7E0B"/>
    <w:rsid w:val="009B604E"/>
    <w:rsid w:val="009D1711"/>
    <w:rsid w:val="009E3A8C"/>
    <w:rsid w:val="00A47BA7"/>
    <w:rsid w:val="00A70BA2"/>
    <w:rsid w:val="00AA38A4"/>
    <w:rsid w:val="00AB512D"/>
    <w:rsid w:val="00AE4E50"/>
    <w:rsid w:val="00B216A9"/>
    <w:rsid w:val="00B34BC4"/>
    <w:rsid w:val="00B53929"/>
    <w:rsid w:val="00BA2BA6"/>
    <w:rsid w:val="00BA77C4"/>
    <w:rsid w:val="00BB5DD2"/>
    <w:rsid w:val="00BD11A5"/>
    <w:rsid w:val="00C04A5B"/>
    <w:rsid w:val="00C16C16"/>
    <w:rsid w:val="00C32D81"/>
    <w:rsid w:val="00C37B8D"/>
    <w:rsid w:val="00C608A3"/>
    <w:rsid w:val="00C92762"/>
    <w:rsid w:val="00CB59EE"/>
    <w:rsid w:val="00CF11A8"/>
    <w:rsid w:val="00D943F7"/>
    <w:rsid w:val="00DF2464"/>
    <w:rsid w:val="00E3589C"/>
    <w:rsid w:val="00E42AA0"/>
    <w:rsid w:val="00E42E4F"/>
    <w:rsid w:val="00ED177B"/>
    <w:rsid w:val="00F777BE"/>
    <w:rsid w:val="00F83003"/>
    <w:rsid w:val="00F944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3C633-0DA4-4F78-90BD-80D82243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A56C1"/>
    <w:rPr>
      <w:sz w:val="22"/>
      <w:szCs w:val="22"/>
      <w:lang w:eastAsia="en-US"/>
    </w:rPr>
  </w:style>
  <w:style w:type="paragraph" w:styleId="Kop1">
    <w:name w:val="heading 1"/>
    <w:basedOn w:val="Standaard"/>
    <w:next w:val="Standaard"/>
    <w:link w:val="Kop1Char"/>
    <w:qFormat/>
    <w:rsid w:val="003A7023"/>
    <w:pPr>
      <w:keepNext/>
      <w:spacing w:before="240" w:after="60"/>
      <w:outlineLvl w:val="0"/>
    </w:pPr>
    <w:rPr>
      <w:rFonts w:ascii="Arial" w:eastAsia="Times New Roman" w:hAnsi="Arial" w:cs="Arial"/>
      <w:b/>
      <w:bCs/>
      <w:kern w:val="32"/>
      <w:sz w:val="32"/>
      <w:szCs w:val="32"/>
      <w:lang w:val="de-DE" w:eastAsia="de-DE"/>
    </w:rPr>
  </w:style>
  <w:style w:type="paragraph" w:styleId="Kop2">
    <w:name w:val="heading 2"/>
    <w:basedOn w:val="Standaard"/>
    <w:next w:val="Standaard"/>
    <w:link w:val="Kop2Char"/>
    <w:qFormat/>
    <w:rsid w:val="003A7023"/>
    <w:pPr>
      <w:keepNext/>
      <w:spacing w:before="240" w:after="60"/>
      <w:outlineLvl w:val="1"/>
    </w:pPr>
    <w:rPr>
      <w:rFonts w:ascii="Arial" w:eastAsia="Times New Roman" w:hAnsi="Arial" w:cs="Arial"/>
      <w:b/>
      <w:bCs/>
      <w:i/>
      <w:iCs/>
      <w:sz w:val="28"/>
      <w:szCs w:val="28"/>
      <w:lang w:val="de-DE" w:eastAsia="de-D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unhideWhenUsed/>
    <w:rsid w:val="00073BA9"/>
    <w:rPr>
      <w:color w:val="0000FF"/>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eastAsia="en-US"/>
    </w:rPr>
  </w:style>
  <w:style w:type="character" w:customStyle="1" w:styleId="Kop1Char">
    <w:name w:val="Kop 1 Char"/>
    <w:link w:val="Kop1"/>
    <w:rsid w:val="003A7023"/>
    <w:rPr>
      <w:rFonts w:ascii="Arial" w:eastAsia="Times New Roman" w:hAnsi="Arial" w:cs="Arial"/>
      <w:b/>
      <w:bCs/>
      <w:kern w:val="32"/>
      <w:sz w:val="32"/>
      <w:szCs w:val="32"/>
      <w:lang w:val="de-DE" w:eastAsia="de-DE"/>
    </w:rPr>
  </w:style>
  <w:style w:type="character" w:customStyle="1" w:styleId="Kop2Char">
    <w:name w:val="Kop 2 Char"/>
    <w:link w:val="Kop2"/>
    <w:rsid w:val="003A7023"/>
    <w:rPr>
      <w:rFonts w:ascii="Arial" w:eastAsia="Times New Roman" w:hAnsi="Arial" w:cs="Arial"/>
      <w:b/>
      <w:bCs/>
      <w:i/>
      <w:iCs/>
      <w:sz w:val="28"/>
      <w:szCs w:val="28"/>
      <w:lang w:val="de-DE" w:eastAsia="de-DE"/>
    </w:rPr>
  </w:style>
  <w:style w:type="paragraph" w:styleId="Plattetekst">
    <w:name w:val="Body Text"/>
    <w:basedOn w:val="Standaard"/>
    <w:link w:val="PlattetekstChar"/>
    <w:rsid w:val="003A7023"/>
    <w:pPr>
      <w:spacing w:after="120"/>
    </w:pPr>
    <w:rPr>
      <w:rFonts w:ascii="Times New Roman" w:eastAsia="Times New Roman" w:hAnsi="Times New Roman"/>
      <w:sz w:val="24"/>
      <w:szCs w:val="24"/>
      <w:lang w:val="de-DE" w:eastAsia="de-DE"/>
    </w:rPr>
  </w:style>
  <w:style w:type="character" w:customStyle="1" w:styleId="PlattetekstChar">
    <w:name w:val="Platte tekst Char"/>
    <w:link w:val="Plattetekst"/>
    <w:rsid w:val="003A7023"/>
    <w:rPr>
      <w:rFonts w:ascii="Times New Roman" w:eastAsia="Times New Roman" w:hAnsi="Times New Roman" w:cs="Times New Roman"/>
      <w:sz w:val="24"/>
      <w:szCs w:val="24"/>
      <w:lang w:val="de-DE" w:eastAsia="de-DE"/>
    </w:rPr>
  </w:style>
  <w:style w:type="paragraph" w:styleId="Lijst">
    <w:name w:val="List"/>
    <w:basedOn w:val="Standaard"/>
    <w:rsid w:val="003A7023"/>
    <w:pPr>
      <w:ind w:left="283" w:hanging="283"/>
    </w:pPr>
    <w:rPr>
      <w:rFonts w:ascii="Times New Roman" w:eastAsia="Times New Roman" w:hAnsi="Times New Roman"/>
      <w:sz w:val="24"/>
      <w:szCs w:val="24"/>
      <w:lang w:val="de-DE" w:eastAsia="de-DE"/>
    </w:rPr>
  </w:style>
  <w:style w:type="character" w:styleId="GevolgdeHyperlink">
    <w:name w:val="FollowedHyperlink"/>
    <w:uiPriority w:val="99"/>
    <w:semiHidden/>
    <w:unhideWhenUsed/>
    <w:rsid w:val="003A7023"/>
    <w:rPr>
      <w:color w:val="800080"/>
      <w:u w:val="single"/>
    </w:rPr>
  </w:style>
  <w:style w:type="paragraph" w:customStyle="1" w:styleId="xl63">
    <w:name w:val="xl63"/>
    <w:basedOn w:val="Standaard"/>
    <w:rsid w:val="003A7023"/>
    <w:pPr>
      <w:spacing w:before="100" w:beforeAutospacing="1" w:after="100" w:afterAutospacing="1"/>
      <w:jc w:val="right"/>
    </w:pPr>
    <w:rPr>
      <w:rFonts w:ascii="Times New Roman" w:eastAsia="Times New Roman" w:hAnsi="Times New Roman"/>
      <w:sz w:val="24"/>
      <w:szCs w:val="24"/>
      <w:lang w:val="en-US"/>
    </w:rPr>
  </w:style>
  <w:style w:type="paragraph" w:customStyle="1" w:styleId="xl64">
    <w:name w:val="xl64"/>
    <w:basedOn w:val="Standaard"/>
    <w:rsid w:val="003A7023"/>
    <w:pPr>
      <w:spacing w:before="100" w:beforeAutospacing="1" w:after="100" w:afterAutospacing="1"/>
    </w:pPr>
    <w:rPr>
      <w:rFonts w:ascii="Times New Roman" w:eastAsia="Times New Roman" w:hAnsi="Times New Roman"/>
      <w:sz w:val="28"/>
      <w:szCs w:val="28"/>
      <w:lang w:val="en-US"/>
    </w:rPr>
  </w:style>
  <w:style w:type="paragraph" w:customStyle="1" w:styleId="xl65">
    <w:name w:val="xl65"/>
    <w:basedOn w:val="Standaard"/>
    <w:rsid w:val="003A7023"/>
    <w:pPr>
      <w:spacing w:before="100" w:beforeAutospacing="1" w:after="100" w:afterAutospacing="1"/>
    </w:pPr>
    <w:rPr>
      <w:rFonts w:ascii="Times New Roman" w:eastAsia="Times New Roman" w:hAnsi="Times New Roman"/>
      <w:b/>
      <w:bCs/>
      <w:sz w:val="24"/>
      <w:szCs w:val="24"/>
      <w:lang w:val="en-US"/>
    </w:rPr>
  </w:style>
  <w:style w:type="paragraph" w:customStyle="1" w:styleId="xl66">
    <w:name w:val="xl66"/>
    <w:basedOn w:val="Standaard"/>
    <w:rsid w:val="003A702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7">
    <w:name w:val="xl67"/>
    <w:basedOn w:val="Standaard"/>
    <w:rsid w:val="00752D83"/>
    <w:pPr>
      <w:spacing w:before="100" w:beforeAutospacing="1" w:after="100" w:afterAutospacing="1"/>
    </w:pPr>
    <w:rPr>
      <w:rFonts w:ascii="Times New Roman" w:eastAsia="Times New Roman" w:hAnsi="Times New Roman"/>
      <w:b/>
      <w:bCs/>
      <w:sz w:val="24"/>
      <w:szCs w:val="24"/>
      <w:lang w:val="en-US"/>
    </w:rPr>
  </w:style>
  <w:style w:type="paragraph" w:customStyle="1" w:styleId="xl68">
    <w:name w:val="xl68"/>
    <w:basedOn w:val="Standaard"/>
    <w:rsid w:val="00752D8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9">
    <w:name w:val="xl69"/>
    <w:basedOn w:val="Standaard"/>
    <w:rsid w:val="00752D83"/>
    <w:pPr>
      <w:spacing w:before="100" w:beforeAutospacing="1" w:after="100" w:afterAutospacing="1"/>
      <w:textAlignment w:val="top"/>
    </w:pPr>
    <w:rPr>
      <w:rFonts w:ascii="Times New Roman" w:eastAsia="Times New Roman" w:hAnsi="Times New Roman"/>
      <w:color w:val="000000"/>
      <w:sz w:val="24"/>
      <w:szCs w:val="24"/>
      <w:lang w:val="en-US"/>
    </w:rPr>
  </w:style>
  <w:style w:type="character" w:customStyle="1" w:styleId="citation">
    <w:name w:val="citation"/>
    <w:rsid w:val="00AB512D"/>
  </w:style>
  <w:style w:type="character" w:styleId="Nadruk">
    <w:name w:val="Emphasis"/>
    <w:uiPriority w:val="20"/>
    <w:qFormat/>
    <w:rsid w:val="004874D8"/>
    <w:rPr>
      <w:i/>
      <w:iCs/>
    </w:rPr>
  </w:style>
  <w:style w:type="character" w:styleId="Zwaar">
    <w:name w:val="Strong"/>
    <w:uiPriority w:val="22"/>
    <w:qFormat/>
    <w:rsid w:val="00B34BC4"/>
    <w:rPr>
      <w:b/>
      <w:bCs/>
    </w:rPr>
  </w:style>
  <w:style w:type="paragraph" w:styleId="Normaalweb">
    <w:name w:val="Normal (Web)"/>
    <w:basedOn w:val="Standaard"/>
    <w:uiPriority w:val="99"/>
    <w:unhideWhenUsed/>
    <w:rsid w:val="00F83003"/>
    <w:pPr>
      <w:spacing w:before="100" w:beforeAutospacing="1" w:after="100" w:afterAutospacing="1"/>
    </w:pPr>
    <w:rPr>
      <w:rFonts w:ascii="Times New Roman" w:eastAsia="Times New Roman" w:hAnsi="Times New Roman"/>
      <w:sz w:val="24"/>
      <w:szCs w:val="24"/>
      <w:lang w:val="en-US"/>
    </w:rPr>
  </w:style>
  <w:style w:type="paragraph" w:customStyle="1" w:styleId="Pa17">
    <w:name w:val="Pa17"/>
    <w:basedOn w:val="Default"/>
    <w:next w:val="Default"/>
    <w:uiPriority w:val="99"/>
    <w:rsid w:val="00F944AC"/>
    <w:pPr>
      <w:spacing w:line="321" w:lineRule="atLeast"/>
    </w:pPr>
    <w:rPr>
      <w:rFonts w:ascii="Univers 47 CondensedLight" w:hAnsi="Univers 47 CondensedLight" w:cs="Times New Roman"/>
      <w:color w:val="auto"/>
    </w:rPr>
  </w:style>
  <w:style w:type="paragraph" w:customStyle="1" w:styleId="Pa23">
    <w:name w:val="Pa23"/>
    <w:basedOn w:val="Default"/>
    <w:next w:val="Default"/>
    <w:uiPriority w:val="99"/>
    <w:rsid w:val="00F944AC"/>
    <w:pPr>
      <w:spacing w:line="201" w:lineRule="atLeast"/>
    </w:pPr>
    <w:rPr>
      <w:rFonts w:ascii="Univers 47 CondensedLight" w:hAnsi="Univers 47 CondensedLight" w:cs="Times New Roman"/>
      <w:color w:val="auto"/>
    </w:rPr>
  </w:style>
  <w:style w:type="paragraph" w:customStyle="1" w:styleId="Pa1">
    <w:name w:val="Pa1"/>
    <w:basedOn w:val="Default"/>
    <w:next w:val="Default"/>
    <w:uiPriority w:val="99"/>
    <w:rsid w:val="00F944AC"/>
    <w:pPr>
      <w:spacing w:line="281" w:lineRule="atLeast"/>
    </w:pPr>
    <w:rPr>
      <w:rFonts w:ascii="Univers 57 Condensed" w:hAnsi="Univers 57 Condensed"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986116">
      <w:bodyDiv w:val="1"/>
      <w:marLeft w:val="0"/>
      <w:marRight w:val="0"/>
      <w:marTop w:val="0"/>
      <w:marBottom w:val="0"/>
      <w:divBdr>
        <w:top w:val="none" w:sz="0" w:space="0" w:color="auto"/>
        <w:left w:val="none" w:sz="0" w:space="0" w:color="auto"/>
        <w:bottom w:val="none" w:sz="0" w:space="0" w:color="auto"/>
        <w:right w:val="none" w:sz="0" w:space="0" w:color="auto"/>
      </w:divBdr>
    </w:div>
    <w:div w:id="540635121">
      <w:bodyDiv w:val="1"/>
      <w:marLeft w:val="0"/>
      <w:marRight w:val="0"/>
      <w:marTop w:val="0"/>
      <w:marBottom w:val="0"/>
      <w:divBdr>
        <w:top w:val="none" w:sz="0" w:space="0" w:color="auto"/>
        <w:left w:val="none" w:sz="0" w:space="0" w:color="auto"/>
        <w:bottom w:val="none" w:sz="0" w:space="0" w:color="auto"/>
        <w:right w:val="none" w:sz="0" w:space="0" w:color="auto"/>
      </w:divBdr>
    </w:div>
    <w:div w:id="1167482964">
      <w:bodyDiv w:val="1"/>
      <w:marLeft w:val="0"/>
      <w:marRight w:val="0"/>
      <w:marTop w:val="0"/>
      <w:marBottom w:val="0"/>
      <w:divBdr>
        <w:top w:val="none" w:sz="0" w:space="0" w:color="auto"/>
        <w:left w:val="none" w:sz="0" w:space="0" w:color="auto"/>
        <w:bottom w:val="none" w:sz="0" w:space="0" w:color="auto"/>
        <w:right w:val="none" w:sz="0" w:space="0" w:color="auto"/>
      </w:divBdr>
      <w:divsChild>
        <w:div w:id="493110198">
          <w:marLeft w:val="0"/>
          <w:marRight w:val="0"/>
          <w:marTop w:val="0"/>
          <w:marBottom w:val="0"/>
          <w:divBdr>
            <w:top w:val="none" w:sz="0" w:space="0" w:color="auto"/>
            <w:left w:val="none" w:sz="0" w:space="0" w:color="auto"/>
            <w:bottom w:val="none" w:sz="0" w:space="0" w:color="auto"/>
            <w:right w:val="none" w:sz="0" w:space="0" w:color="auto"/>
          </w:divBdr>
          <w:divsChild>
            <w:div w:id="2138252058">
              <w:marLeft w:val="0"/>
              <w:marRight w:val="0"/>
              <w:marTop w:val="0"/>
              <w:marBottom w:val="0"/>
              <w:divBdr>
                <w:top w:val="none" w:sz="0" w:space="0" w:color="auto"/>
                <w:left w:val="none" w:sz="0" w:space="0" w:color="auto"/>
                <w:bottom w:val="none" w:sz="0" w:space="0" w:color="auto"/>
                <w:right w:val="none" w:sz="0" w:space="0" w:color="auto"/>
              </w:divBdr>
              <w:divsChild>
                <w:div w:id="237903259">
                  <w:marLeft w:val="0"/>
                  <w:marRight w:val="0"/>
                  <w:marTop w:val="0"/>
                  <w:marBottom w:val="0"/>
                  <w:divBdr>
                    <w:top w:val="none" w:sz="0" w:space="0" w:color="auto"/>
                    <w:left w:val="none" w:sz="0" w:space="0" w:color="auto"/>
                    <w:bottom w:val="none" w:sz="0" w:space="0" w:color="auto"/>
                    <w:right w:val="none" w:sz="0" w:space="0" w:color="auto"/>
                  </w:divBdr>
                  <w:divsChild>
                    <w:div w:id="1252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1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pubs.usgs.gov/ds/2005/1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gs.gov/" TargetMode="External"/><Relationship Id="rId5" Type="http://schemas.openxmlformats.org/officeDocument/2006/relationships/hyperlink" Target="http://www.doi.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D:\UU\OGC\data\results\CLIO-INFRA_lead.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400"/>
              <a:t>Global Lead mine production</a:t>
            </a:r>
          </a:p>
        </c:rich>
      </c:tx>
      <c:overlay val="0"/>
    </c:title>
    <c:autoTitleDeleted val="0"/>
    <c:plotArea>
      <c:layout/>
      <c:scatterChart>
        <c:scatterStyle val="lineMarker"/>
        <c:varyColors val="0"/>
        <c:ser>
          <c:idx val="0"/>
          <c:order val="0"/>
          <c:tx>
            <c:strRef>
              <c:f>'CLIO-INFRA'!$B$352</c:f>
              <c:strCache>
                <c:ptCount val="1"/>
                <c:pt idx="0">
                  <c:v>Europe</c:v>
                </c:pt>
              </c:strCache>
            </c:strRef>
          </c:tx>
          <c:marker>
            <c:symbol val="none"/>
          </c:marker>
          <c:xVal>
            <c:numRef>
              <c:f>'CLIO-INFRA'!$C$351:$AJ$351</c:f>
              <c:numCache>
                <c:formatCode>General</c:formatCode>
                <c:ptCount val="34"/>
                <c:pt idx="0">
                  <c:v>1500</c:v>
                </c:pt>
                <c:pt idx="1">
                  <c:v>1600</c:v>
                </c:pt>
                <c:pt idx="2">
                  <c:v>1700</c:v>
                </c:pt>
                <c:pt idx="3">
                  <c:v>1710</c:v>
                </c:pt>
                <c:pt idx="4">
                  <c:v>1720</c:v>
                </c:pt>
                <c:pt idx="5">
                  <c:v>1730</c:v>
                </c:pt>
                <c:pt idx="6">
                  <c:v>1740</c:v>
                </c:pt>
                <c:pt idx="7">
                  <c:v>1750</c:v>
                </c:pt>
                <c:pt idx="8">
                  <c:v>1760</c:v>
                </c:pt>
                <c:pt idx="9">
                  <c:v>1770</c:v>
                </c:pt>
                <c:pt idx="10">
                  <c:v>1780</c:v>
                </c:pt>
                <c:pt idx="11">
                  <c:v>1790</c:v>
                </c:pt>
                <c:pt idx="12">
                  <c:v>1800</c:v>
                </c:pt>
                <c:pt idx="13">
                  <c:v>1810</c:v>
                </c:pt>
                <c:pt idx="14">
                  <c:v>1820</c:v>
                </c:pt>
                <c:pt idx="15">
                  <c:v>1830</c:v>
                </c:pt>
                <c:pt idx="16">
                  <c:v>1840</c:v>
                </c:pt>
                <c:pt idx="17">
                  <c:v>1850</c:v>
                </c:pt>
                <c:pt idx="18">
                  <c:v>1860</c:v>
                </c:pt>
                <c:pt idx="19">
                  <c:v>1870</c:v>
                </c:pt>
                <c:pt idx="20">
                  <c:v>1880</c:v>
                </c:pt>
                <c:pt idx="21">
                  <c:v>1890</c:v>
                </c:pt>
                <c:pt idx="22">
                  <c:v>1900</c:v>
                </c:pt>
                <c:pt idx="23">
                  <c:v>1910</c:v>
                </c:pt>
                <c:pt idx="24">
                  <c:v>1920</c:v>
                </c:pt>
                <c:pt idx="25">
                  <c:v>1930</c:v>
                </c:pt>
                <c:pt idx="26">
                  <c:v>1940</c:v>
                </c:pt>
                <c:pt idx="27">
                  <c:v>1950</c:v>
                </c:pt>
                <c:pt idx="28">
                  <c:v>1960</c:v>
                </c:pt>
                <c:pt idx="29">
                  <c:v>1970</c:v>
                </c:pt>
                <c:pt idx="30">
                  <c:v>1980</c:v>
                </c:pt>
                <c:pt idx="31">
                  <c:v>1990</c:v>
                </c:pt>
                <c:pt idx="32">
                  <c:v>2000</c:v>
                </c:pt>
                <c:pt idx="33">
                  <c:v>2010</c:v>
                </c:pt>
              </c:numCache>
            </c:numRef>
          </c:xVal>
          <c:yVal>
            <c:numRef>
              <c:f>'CLIO-INFRA'!$C$352:$AJ$352</c:f>
              <c:numCache>
                <c:formatCode>0</c:formatCode>
                <c:ptCount val="34"/>
                <c:pt idx="0">
                  <c:v>0</c:v>
                </c:pt>
                <c:pt idx="1">
                  <c:v>0</c:v>
                </c:pt>
                <c:pt idx="2">
                  <c:v>0</c:v>
                </c:pt>
                <c:pt idx="3">
                  <c:v>0</c:v>
                </c:pt>
                <c:pt idx="4">
                  <c:v>0</c:v>
                </c:pt>
                <c:pt idx="5">
                  <c:v>0</c:v>
                </c:pt>
                <c:pt idx="6">
                  <c:v>0</c:v>
                </c:pt>
                <c:pt idx="7">
                  <c:v>0</c:v>
                </c:pt>
                <c:pt idx="8">
                  <c:v>0</c:v>
                </c:pt>
                <c:pt idx="9">
                  <c:v>60</c:v>
                </c:pt>
                <c:pt idx="10">
                  <c:v>0</c:v>
                </c:pt>
                <c:pt idx="11">
                  <c:v>0</c:v>
                </c:pt>
                <c:pt idx="12">
                  <c:v>27</c:v>
                </c:pt>
                <c:pt idx="13">
                  <c:v>11</c:v>
                </c:pt>
                <c:pt idx="14">
                  <c:v>13.799999999999999</c:v>
                </c:pt>
                <c:pt idx="15">
                  <c:v>39.612466367713004</c:v>
                </c:pt>
                <c:pt idx="16">
                  <c:v>37.513356822549653</c:v>
                </c:pt>
                <c:pt idx="17">
                  <c:v>126.812466367713</c:v>
                </c:pt>
                <c:pt idx="18">
                  <c:v>166.43959000640615</c:v>
                </c:pt>
                <c:pt idx="19">
                  <c:v>234.96849455477258</c:v>
                </c:pt>
                <c:pt idx="20">
                  <c:v>252.39959000640613</c:v>
                </c:pt>
                <c:pt idx="21">
                  <c:v>304.24424727738631</c:v>
                </c:pt>
                <c:pt idx="22">
                  <c:v>317.93356181934661</c:v>
                </c:pt>
                <c:pt idx="23">
                  <c:v>354.23637091607941</c:v>
                </c:pt>
                <c:pt idx="24">
                  <c:v>274.99944634932439</c:v>
                </c:pt>
                <c:pt idx="25">
                  <c:v>303.57563505524888</c:v>
                </c:pt>
                <c:pt idx="26">
                  <c:v>454.53568225496474</c:v>
                </c:pt>
                <c:pt idx="27">
                  <c:v>566.1868358598349</c:v>
                </c:pt>
                <c:pt idx="28">
                  <c:v>984.01068001447197</c:v>
                </c:pt>
                <c:pt idx="29">
                  <c:v>1308.475676877782</c:v>
                </c:pt>
                <c:pt idx="30">
                  <c:v>1469.6116595247499</c:v>
                </c:pt>
                <c:pt idx="31">
                  <c:v>819.12399849969961</c:v>
                </c:pt>
                <c:pt idx="32">
                  <c:v>422.36199999999997</c:v>
                </c:pt>
                <c:pt idx="33">
                  <c:v>510.6</c:v>
                </c:pt>
              </c:numCache>
            </c:numRef>
          </c:yVal>
          <c:smooth val="0"/>
        </c:ser>
        <c:ser>
          <c:idx val="1"/>
          <c:order val="1"/>
          <c:tx>
            <c:strRef>
              <c:f>'CLIO-INFRA'!$B$353</c:f>
              <c:strCache>
                <c:ptCount val="1"/>
                <c:pt idx="0">
                  <c:v>Americas</c:v>
                </c:pt>
              </c:strCache>
            </c:strRef>
          </c:tx>
          <c:marker>
            <c:symbol val="none"/>
          </c:marker>
          <c:xVal>
            <c:numRef>
              <c:f>'CLIO-INFRA'!$C$351:$AJ$351</c:f>
              <c:numCache>
                <c:formatCode>General</c:formatCode>
                <c:ptCount val="34"/>
                <c:pt idx="0">
                  <c:v>1500</c:v>
                </c:pt>
                <c:pt idx="1">
                  <c:v>1600</c:v>
                </c:pt>
                <c:pt idx="2">
                  <c:v>1700</c:v>
                </c:pt>
                <c:pt idx="3">
                  <c:v>1710</c:v>
                </c:pt>
                <c:pt idx="4">
                  <c:v>1720</c:v>
                </c:pt>
                <c:pt idx="5">
                  <c:v>1730</c:v>
                </c:pt>
                <c:pt idx="6">
                  <c:v>1740</c:v>
                </c:pt>
                <c:pt idx="7">
                  <c:v>1750</c:v>
                </c:pt>
                <c:pt idx="8">
                  <c:v>1760</c:v>
                </c:pt>
                <c:pt idx="9">
                  <c:v>1770</c:v>
                </c:pt>
                <c:pt idx="10">
                  <c:v>1780</c:v>
                </c:pt>
                <c:pt idx="11">
                  <c:v>1790</c:v>
                </c:pt>
                <c:pt idx="12">
                  <c:v>1800</c:v>
                </c:pt>
                <c:pt idx="13">
                  <c:v>1810</c:v>
                </c:pt>
                <c:pt idx="14">
                  <c:v>1820</c:v>
                </c:pt>
                <c:pt idx="15">
                  <c:v>1830</c:v>
                </c:pt>
                <c:pt idx="16">
                  <c:v>1840</c:v>
                </c:pt>
                <c:pt idx="17">
                  <c:v>1850</c:v>
                </c:pt>
                <c:pt idx="18">
                  <c:v>1860</c:v>
                </c:pt>
                <c:pt idx="19">
                  <c:v>1870</c:v>
                </c:pt>
                <c:pt idx="20">
                  <c:v>1880</c:v>
                </c:pt>
                <c:pt idx="21">
                  <c:v>1890</c:v>
                </c:pt>
                <c:pt idx="22">
                  <c:v>1900</c:v>
                </c:pt>
                <c:pt idx="23">
                  <c:v>1910</c:v>
                </c:pt>
                <c:pt idx="24">
                  <c:v>1920</c:v>
                </c:pt>
                <c:pt idx="25">
                  <c:v>1930</c:v>
                </c:pt>
                <c:pt idx="26">
                  <c:v>1940</c:v>
                </c:pt>
                <c:pt idx="27">
                  <c:v>1950</c:v>
                </c:pt>
                <c:pt idx="28">
                  <c:v>1960</c:v>
                </c:pt>
                <c:pt idx="29">
                  <c:v>1970</c:v>
                </c:pt>
                <c:pt idx="30">
                  <c:v>1980</c:v>
                </c:pt>
                <c:pt idx="31">
                  <c:v>1990</c:v>
                </c:pt>
                <c:pt idx="32">
                  <c:v>2000</c:v>
                </c:pt>
                <c:pt idx="33">
                  <c:v>2010</c:v>
                </c:pt>
              </c:numCache>
            </c:numRef>
          </c:xVal>
          <c:yVal>
            <c:numRef>
              <c:f>'CLIO-INFRA'!$C$353:$AJ$353</c:f>
              <c:numCache>
                <c:formatCode>0</c:formatCode>
                <c:ptCount val="3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7.3</c:v>
                </c:pt>
                <c:pt idx="16">
                  <c:v>15.4</c:v>
                </c:pt>
                <c:pt idx="17">
                  <c:v>20</c:v>
                </c:pt>
                <c:pt idx="18">
                  <c:v>14.1</c:v>
                </c:pt>
                <c:pt idx="19">
                  <c:v>16.2</c:v>
                </c:pt>
                <c:pt idx="20">
                  <c:v>86.8</c:v>
                </c:pt>
                <c:pt idx="21">
                  <c:v>151.60000000000002</c:v>
                </c:pt>
                <c:pt idx="22">
                  <c:v>361.7</c:v>
                </c:pt>
                <c:pt idx="23">
                  <c:v>482.8</c:v>
                </c:pt>
                <c:pt idx="24">
                  <c:v>554.40000000000009</c:v>
                </c:pt>
                <c:pt idx="25">
                  <c:v>943.8</c:v>
                </c:pt>
                <c:pt idx="26">
                  <c:v>945.8</c:v>
                </c:pt>
                <c:pt idx="27">
                  <c:v>893</c:v>
                </c:pt>
                <c:pt idx="28">
                  <c:v>840.7</c:v>
                </c:pt>
                <c:pt idx="29">
                  <c:v>1310.8</c:v>
                </c:pt>
                <c:pt idx="30">
                  <c:v>1298</c:v>
                </c:pt>
                <c:pt idx="31">
                  <c:v>1208.0999999999999</c:v>
                </c:pt>
                <c:pt idx="32">
                  <c:v>1064.8020000000001</c:v>
                </c:pt>
                <c:pt idx="33">
                  <c:v>1016.059</c:v>
                </c:pt>
              </c:numCache>
            </c:numRef>
          </c:yVal>
          <c:smooth val="0"/>
        </c:ser>
        <c:ser>
          <c:idx val="2"/>
          <c:order val="2"/>
          <c:tx>
            <c:strRef>
              <c:f>'CLIO-INFRA'!$B$354</c:f>
              <c:strCache>
                <c:ptCount val="1"/>
                <c:pt idx="0">
                  <c:v>Oceania</c:v>
                </c:pt>
              </c:strCache>
            </c:strRef>
          </c:tx>
          <c:marker>
            <c:symbol val="none"/>
          </c:marker>
          <c:xVal>
            <c:numRef>
              <c:f>'CLIO-INFRA'!$C$351:$AJ$351</c:f>
              <c:numCache>
                <c:formatCode>General</c:formatCode>
                <c:ptCount val="34"/>
                <c:pt idx="0">
                  <c:v>1500</c:v>
                </c:pt>
                <c:pt idx="1">
                  <c:v>1600</c:v>
                </c:pt>
                <c:pt idx="2">
                  <c:v>1700</c:v>
                </c:pt>
                <c:pt idx="3">
                  <c:v>1710</c:v>
                </c:pt>
                <c:pt idx="4">
                  <c:v>1720</c:v>
                </c:pt>
                <c:pt idx="5">
                  <c:v>1730</c:v>
                </c:pt>
                <c:pt idx="6">
                  <c:v>1740</c:v>
                </c:pt>
                <c:pt idx="7">
                  <c:v>1750</c:v>
                </c:pt>
                <c:pt idx="8">
                  <c:v>1760</c:v>
                </c:pt>
                <c:pt idx="9">
                  <c:v>1770</c:v>
                </c:pt>
                <c:pt idx="10">
                  <c:v>1780</c:v>
                </c:pt>
                <c:pt idx="11">
                  <c:v>1790</c:v>
                </c:pt>
                <c:pt idx="12">
                  <c:v>1800</c:v>
                </c:pt>
                <c:pt idx="13">
                  <c:v>1810</c:v>
                </c:pt>
                <c:pt idx="14">
                  <c:v>1820</c:v>
                </c:pt>
                <c:pt idx="15">
                  <c:v>1830</c:v>
                </c:pt>
                <c:pt idx="16">
                  <c:v>1840</c:v>
                </c:pt>
                <c:pt idx="17">
                  <c:v>1850</c:v>
                </c:pt>
                <c:pt idx="18">
                  <c:v>1860</c:v>
                </c:pt>
                <c:pt idx="19">
                  <c:v>1870</c:v>
                </c:pt>
                <c:pt idx="20">
                  <c:v>1880</c:v>
                </c:pt>
                <c:pt idx="21">
                  <c:v>1890</c:v>
                </c:pt>
                <c:pt idx="22">
                  <c:v>1900</c:v>
                </c:pt>
                <c:pt idx="23">
                  <c:v>1910</c:v>
                </c:pt>
                <c:pt idx="24">
                  <c:v>1920</c:v>
                </c:pt>
                <c:pt idx="25">
                  <c:v>1930</c:v>
                </c:pt>
                <c:pt idx="26">
                  <c:v>1940</c:v>
                </c:pt>
                <c:pt idx="27">
                  <c:v>1950</c:v>
                </c:pt>
                <c:pt idx="28">
                  <c:v>1960</c:v>
                </c:pt>
                <c:pt idx="29">
                  <c:v>1970</c:v>
                </c:pt>
                <c:pt idx="30">
                  <c:v>1980</c:v>
                </c:pt>
                <c:pt idx="31">
                  <c:v>1990</c:v>
                </c:pt>
                <c:pt idx="32">
                  <c:v>2000</c:v>
                </c:pt>
                <c:pt idx="33">
                  <c:v>2010</c:v>
                </c:pt>
              </c:numCache>
            </c:numRef>
          </c:xVal>
          <c:yVal>
            <c:numRef>
              <c:f>'CLIO-INFRA'!$C$354:$AJ$354</c:f>
              <c:numCache>
                <c:formatCode>0</c:formatCode>
                <c:ptCount val="3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c:v>
                </c:pt>
                <c:pt idx="19">
                  <c:v>0.2</c:v>
                </c:pt>
                <c:pt idx="20">
                  <c:v>0.1</c:v>
                </c:pt>
                <c:pt idx="21">
                  <c:v>42.1</c:v>
                </c:pt>
                <c:pt idx="22">
                  <c:v>83.4</c:v>
                </c:pt>
                <c:pt idx="23">
                  <c:v>202.6</c:v>
                </c:pt>
                <c:pt idx="24">
                  <c:v>18.7</c:v>
                </c:pt>
                <c:pt idx="25">
                  <c:v>197.4</c:v>
                </c:pt>
                <c:pt idx="26">
                  <c:v>293.39999999999998</c:v>
                </c:pt>
                <c:pt idx="27">
                  <c:v>229.8</c:v>
                </c:pt>
                <c:pt idx="28">
                  <c:v>313.10000000000002</c:v>
                </c:pt>
                <c:pt idx="29">
                  <c:v>459.4</c:v>
                </c:pt>
                <c:pt idx="30">
                  <c:v>397.9</c:v>
                </c:pt>
                <c:pt idx="31">
                  <c:v>570</c:v>
                </c:pt>
                <c:pt idx="32">
                  <c:v>739</c:v>
                </c:pt>
                <c:pt idx="33">
                  <c:v>625</c:v>
                </c:pt>
              </c:numCache>
            </c:numRef>
          </c:yVal>
          <c:smooth val="0"/>
        </c:ser>
        <c:ser>
          <c:idx val="3"/>
          <c:order val="3"/>
          <c:tx>
            <c:strRef>
              <c:f>'CLIO-INFRA'!$B$355</c:f>
              <c:strCache>
                <c:ptCount val="1"/>
                <c:pt idx="0">
                  <c:v>Asia</c:v>
                </c:pt>
              </c:strCache>
            </c:strRef>
          </c:tx>
          <c:marker>
            <c:symbol val="none"/>
          </c:marker>
          <c:xVal>
            <c:numRef>
              <c:f>'CLIO-INFRA'!$C$351:$AJ$351</c:f>
              <c:numCache>
                <c:formatCode>General</c:formatCode>
                <c:ptCount val="34"/>
                <c:pt idx="0">
                  <c:v>1500</c:v>
                </c:pt>
                <c:pt idx="1">
                  <c:v>1600</c:v>
                </c:pt>
                <c:pt idx="2">
                  <c:v>1700</c:v>
                </c:pt>
                <c:pt idx="3">
                  <c:v>1710</c:v>
                </c:pt>
                <c:pt idx="4">
                  <c:v>1720</c:v>
                </c:pt>
                <c:pt idx="5">
                  <c:v>1730</c:v>
                </c:pt>
                <c:pt idx="6">
                  <c:v>1740</c:v>
                </c:pt>
                <c:pt idx="7">
                  <c:v>1750</c:v>
                </c:pt>
                <c:pt idx="8">
                  <c:v>1760</c:v>
                </c:pt>
                <c:pt idx="9">
                  <c:v>1770</c:v>
                </c:pt>
                <c:pt idx="10">
                  <c:v>1780</c:v>
                </c:pt>
                <c:pt idx="11">
                  <c:v>1790</c:v>
                </c:pt>
                <c:pt idx="12">
                  <c:v>1800</c:v>
                </c:pt>
                <c:pt idx="13">
                  <c:v>1810</c:v>
                </c:pt>
                <c:pt idx="14">
                  <c:v>1820</c:v>
                </c:pt>
                <c:pt idx="15">
                  <c:v>1830</c:v>
                </c:pt>
                <c:pt idx="16">
                  <c:v>1840</c:v>
                </c:pt>
                <c:pt idx="17">
                  <c:v>1850</c:v>
                </c:pt>
                <c:pt idx="18">
                  <c:v>1860</c:v>
                </c:pt>
                <c:pt idx="19">
                  <c:v>1870</c:v>
                </c:pt>
                <c:pt idx="20">
                  <c:v>1880</c:v>
                </c:pt>
                <c:pt idx="21">
                  <c:v>1890</c:v>
                </c:pt>
                <c:pt idx="22">
                  <c:v>1900</c:v>
                </c:pt>
                <c:pt idx="23">
                  <c:v>1910</c:v>
                </c:pt>
                <c:pt idx="24">
                  <c:v>1920</c:v>
                </c:pt>
                <c:pt idx="25">
                  <c:v>1930</c:v>
                </c:pt>
                <c:pt idx="26">
                  <c:v>1940</c:v>
                </c:pt>
                <c:pt idx="27">
                  <c:v>1950</c:v>
                </c:pt>
                <c:pt idx="28">
                  <c:v>1960</c:v>
                </c:pt>
                <c:pt idx="29">
                  <c:v>1970</c:v>
                </c:pt>
                <c:pt idx="30">
                  <c:v>1980</c:v>
                </c:pt>
                <c:pt idx="31">
                  <c:v>1990</c:v>
                </c:pt>
                <c:pt idx="32">
                  <c:v>2000</c:v>
                </c:pt>
                <c:pt idx="33">
                  <c:v>2010</c:v>
                </c:pt>
              </c:numCache>
            </c:numRef>
          </c:xVal>
          <c:yVal>
            <c:numRef>
              <c:f>'CLIO-INFRA'!$C$355:$AJ$355</c:f>
              <c:numCache>
                <c:formatCode>0</c:formatCode>
                <c:ptCount val="3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0.54753363228699559</c:v>
                </c:pt>
                <c:pt idx="16">
                  <c:v>0.58664317745035244</c:v>
                </c:pt>
                <c:pt idx="17">
                  <c:v>0.54753363228699559</c:v>
                </c:pt>
                <c:pt idx="18">
                  <c:v>0.86040999359385018</c:v>
                </c:pt>
                <c:pt idx="19">
                  <c:v>1.2515054452274186</c:v>
                </c:pt>
                <c:pt idx="20">
                  <c:v>1.1604099935938503</c:v>
                </c:pt>
                <c:pt idx="21">
                  <c:v>1.4257527226137094</c:v>
                </c:pt>
                <c:pt idx="22">
                  <c:v>4.8564381806534271</c:v>
                </c:pt>
                <c:pt idx="23">
                  <c:v>30.238629083920568</c:v>
                </c:pt>
                <c:pt idx="24">
                  <c:v>32.05643818065343</c:v>
                </c:pt>
                <c:pt idx="25">
                  <c:v>139.36944266495834</c:v>
                </c:pt>
                <c:pt idx="26">
                  <c:v>171.46431774503523</c:v>
                </c:pt>
                <c:pt idx="27">
                  <c:v>148.1724535554132</c:v>
                </c:pt>
                <c:pt idx="28">
                  <c:v>460.10108904548366</c:v>
                </c:pt>
                <c:pt idx="29">
                  <c:v>625.16399743754005</c:v>
                </c:pt>
                <c:pt idx="30">
                  <c:v>853.27072389493924</c:v>
                </c:pt>
                <c:pt idx="31">
                  <c:v>688.63677130044846</c:v>
                </c:pt>
                <c:pt idx="32">
                  <c:v>850.32899999999995</c:v>
                </c:pt>
                <c:pt idx="33">
                  <c:v>2079.4679999999998</c:v>
                </c:pt>
              </c:numCache>
            </c:numRef>
          </c:yVal>
          <c:smooth val="0"/>
        </c:ser>
        <c:ser>
          <c:idx val="4"/>
          <c:order val="4"/>
          <c:tx>
            <c:strRef>
              <c:f>'CLIO-INFRA'!$B$356</c:f>
              <c:strCache>
                <c:ptCount val="1"/>
                <c:pt idx="0">
                  <c:v>Africa</c:v>
                </c:pt>
              </c:strCache>
            </c:strRef>
          </c:tx>
          <c:marker>
            <c:symbol val="none"/>
          </c:marker>
          <c:xVal>
            <c:numRef>
              <c:f>'CLIO-INFRA'!$C$351:$AJ$351</c:f>
              <c:numCache>
                <c:formatCode>General</c:formatCode>
                <c:ptCount val="34"/>
                <c:pt idx="0">
                  <c:v>1500</c:v>
                </c:pt>
                <c:pt idx="1">
                  <c:v>1600</c:v>
                </c:pt>
                <c:pt idx="2">
                  <c:v>1700</c:v>
                </c:pt>
                <c:pt idx="3">
                  <c:v>1710</c:v>
                </c:pt>
                <c:pt idx="4">
                  <c:v>1720</c:v>
                </c:pt>
                <c:pt idx="5">
                  <c:v>1730</c:v>
                </c:pt>
                <c:pt idx="6">
                  <c:v>1740</c:v>
                </c:pt>
                <c:pt idx="7">
                  <c:v>1750</c:v>
                </c:pt>
                <c:pt idx="8">
                  <c:v>1760</c:v>
                </c:pt>
                <c:pt idx="9">
                  <c:v>1770</c:v>
                </c:pt>
                <c:pt idx="10">
                  <c:v>1780</c:v>
                </c:pt>
                <c:pt idx="11">
                  <c:v>1790</c:v>
                </c:pt>
                <c:pt idx="12">
                  <c:v>1800</c:v>
                </c:pt>
                <c:pt idx="13">
                  <c:v>1810</c:v>
                </c:pt>
                <c:pt idx="14">
                  <c:v>1820</c:v>
                </c:pt>
                <c:pt idx="15">
                  <c:v>1830</c:v>
                </c:pt>
                <c:pt idx="16">
                  <c:v>1840</c:v>
                </c:pt>
                <c:pt idx="17">
                  <c:v>1850</c:v>
                </c:pt>
                <c:pt idx="18">
                  <c:v>1860</c:v>
                </c:pt>
                <c:pt idx="19">
                  <c:v>1870</c:v>
                </c:pt>
                <c:pt idx="20">
                  <c:v>1880</c:v>
                </c:pt>
                <c:pt idx="21">
                  <c:v>1890</c:v>
                </c:pt>
                <c:pt idx="22">
                  <c:v>1900</c:v>
                </c:pt>
                <c:pt idx="23">
                  <c:v>1910</c:v>
                </c:pt>
                <c:pt idx="24">
                  <c:v>1920</c:v>
                </c:pt>
                <c:pt idx="25">
                  <c:v>1930</c:v>
                </c:pt>
                <c:pt idx="26">
                  <c:v>1940</c:v>
                </c:pt>
                <c:pt idx="27">
                  <c:v>1950</c:v>
                </c:pt>
                <c:pt idx="28">
                  <c:v>1960</c:v>
                </c:pt>
                <c:pt idx="29">
                  <c:v>1970</c:v>
                </c:pt>
                <c:pt idx="30">
                  <c:v>1980</c:v>
                </c:pt>
                <c:pt idx="31">
                  <c:v>1990</c:v>
                </c:pt>
                <c:pt idx="32">
                  <c:v>2000</c:v>
                </c:pt>
                <c:pt idx="33">
                  <c:v>2010</c:v>
                </c:pt>
              </c:numCache>
            </c:numRef>
          </c:xVal>
          <c:yVal>
            <c:numRef>
              <c:f>'CLIO-INFRA'!$C$356:$AJ$356</c:f>
              <c:numCache>
                <c:formatCode>0</c:formatCode>
                <c:ptCount val="3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3.7</c:v>
                </c:pt>
                <c:pt idx="23">
                  <c:v>30.299999999999997</c:v>
                </c:pt>
                <c:pt idx="24">
                  <c:v>21.9</c:v>
                </c:pt>
                <c:pt idx="25">
                  <c:v>56.4</c:v>
                </c:pt>
                <c:pt idx="26">
                  <c:v>40.5</c:v>
                </c:pt>
                <c:pt idx="27">
                  <c:v>116.70000000000002</c:v>
                </c:pt>
                <c:pt idx="28">
                  <c:v>198.89999999999998</c:v>
                </c:pt>
                <c:pt idx="29">
                  <c:v>217.8</c:v>
                </c:pt>
                <c:pt idx="30">
                  <c:v>269.5</c:v>
                </c:pt>
                <c:pt idx="31">
                  <c:v>175.5</c:v>
                </c:pt>
                <c:pt idx="32">
                  <c:v>175.00400000000002</c:v>
                </c:pt>
                <c:pt idx="33">
                  <c:v>94.855000000000004</c:v>
                </c:pt>
              </c:numCache>
            </c:numRef>
          </c:yVal>
          <c:smooth val="0"/>
        </c:ser>
        <c:dLbls>
          <c:showLegendKey val="0"/>
          <c:showVal val="0"/>
          <c:showCatName val="0"/>
          <c:showSerName val="0"/>
          <c:showPercent val="0"/>
          <c:showBubbleSize val="0"/>
        </c:dLbls>
        <c:axId val="449601448"/>
        <c:axId val="449601840"/>
      </c:scatterChart>
      <c:valAx>
        <c:axId val="449601448"/>
        <c:scaling>
          <c:orientation val="minMax"/>
          <c:max val="2050"/>
          <c:min val="1700"/>
        </c:scaling>
        <c:delete val="0"/>
        <c:axPos val="b"/>
        <c:numFmt formatCode="General" sourceLinked="1"/>
        <c:majorTickMark val="out"/>
        <c:minorTickMark val="none"/>
        <c:tickLblPos val="nextTo"/>
        <c:crossAx val="449601840"/>
        <c:crosses val="autoZero"/>
        <c:crossBetween val="midCat"/>
        <c:majorUnit val="50"/>
      </c:valAx>
      <c:valAx>
        <c:axId val="449601840"/>
        <c:scaling>
          <c:orientation val="minMax"/>
        </c:scaling>
        <c:delete val="0"/>
        <c:axPos val="l"/>
        <c:majorGridlines/>
        <c:title>
          <c:tx>
            <c:rich>
              <a:bodyPr rot="-5400000" vert="horz"/>
              <a:lstStyle/>
              <a:p>
                <a:pPr>
                  <a:defRPr/>
                </a:pPr>
                <a:r>
                  <a:rPr lang="en-US"/>
                  <a:t>x 1000 metric tons</a:t>
                </a:r>
              </a:p>
            </c:rich>
          </c:tx>
          <c:overlay val="0"/>
        </c:title>
        <c:numFmt formatCode="0" sourceLinked="1"/>
        <c:majorTickMark val="out"/>
        <c:minorTickMark val="none"/>
        <c:tickLblPos val="nextTo"/>
        <c:crossAx val="449601448"/>
        <c:crosses val="autoZero"/>
        <c:crossBetween val="midCat"/>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3</Pages>
  <Words>645</Words>
  <Characters>3551</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Required content of Working Paper CLIO-INFRA</vt:lpstr>
      <vt:lpstr>Required content of Working Paper CLIO-INFRA</vt:lpstr>
    </vt:vector>
  </TitlesOfParts>
  <Company>IISG</Company>
  <LinksUpToDate>false</LinksUpToDate>
  <CharactersWithSpaces>4188</CharactersWithSpaces>
  <SharedDoc>false</SharedDoc>
  <HLinks>
    <vt:vector size="18" baseType="variant">
      <vt:variant>
        <vt:i4>4784153</vt:i4>
      </vt:variant>
      <vt:variant>
        <vt:i4>8</vt:i4>
      </vt:variant>
      <vt:variant>
        <vt:i4>0</vt:i4>
      </vt:variant>
      <vt:variant>
        <vt:i4>5</vt:i4>
      </vt:variant>
      <vt:variant>
        <vt:lpwstr>http://pubs.usgs.gov/ds/2005/140/</vt:lpwstr>
      </vt:variant>
      <vt:variant>
        <vt:lpwstr/>
      </vt:variant>
      <vt:variant>
        <vt:i4>5701697</vt:i4>
      </vt:variant>
      <vt:variant>
        <vt:i4>3</vt:i4>
      </vt:variant>
      <vt:variant>
        <vt:i4>0</vt:i4>
      </vt:variant>
      <vt:variant>
        <vt:i4>5</vt:i4>
      </vt:variant>
      <vt:variant>
        <vt:lpwstr>http://www.usgs.gov/</vt:lpwstr>
      </vt:variant>
      <vt:variant>
        <vt:lpwstr/>
      </vt:variant>
      <vt:variant>
        <vt:i4>3604606</vt:i4>
      </vt:variant>
      <vt:variant>
        <vt:i4>0</vt:i4>
      </vt:variant>
      <vt:variant>
        <vt:i4>0</vt:i4>
      </vt:variant>
      <vt:variant>
        <vt:i4>5</vt:i4>
      </vt:variant>
      <vt:variant>
        <vt:lpwstr>http://www.doi.gov/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Required content of Working Paper CLIO-INFRA</dc:title>
  <dc:subject/>
  <dc:creator>IISG-User</dc:creator>
  <cp:keywords/>
  <cp:lastModifiedBy>Jonathan Fink-Jensen</cp:lastModifiedBy>
  <cp:revision>2</cp:revision>
  <cp:lastPrinted>2012-01-02T16:18:00Z</cp:lastPrinted>
  <dcterms:created xsi:type="dcterms:W3CDTF">2014-11-13T13:49:00Z</dcterms:created>
  <dcterms:modified xsi:type="dcterms:W3CDTF">2014-11-13T13:49:00Z</dcterms:modified>
</cp:coreProperties>
</file>