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C1" w:rsidRPr="008D7E0B" w:rsidRDefault="00F777BE">
      <w:pPr>
        <w:rPr>
          <w:b/>
          <w:sz w:val="28"/>
          <w:szCs w:val="28"/>
          <w:lang w:val="en-US"/>
        </w:rPr>
      </w:pPr>
      <w:r>
        <w:rPr>
          <w:b/>
          <w:sz w:val="28"/>
          <w:szCs w:val="28"/>
          <w:lang w:val="en-US"/>
        </w:rPr>
        <w:t>Required</w:t>
      </w:r>
      <w:r w:rsidR="00073BA9" w:rsidRPr="008D7E0B">
        <w:rPr>
          <w:b/>
          <w:sz w:val="28"/>
          <w:szCs w:val="28"/>
          <w:lang w:val="en-US"/>
        </w:rPr>
        <w:t xml:space="preserve"> </w:t>
      </w:r>
      <w:r w:rsidR="00BA2BA6" w:rsidRPr="008D7E0B">
        <w:rPr>
          <w:b/>
          <w:sz w:val="28"/>
          <w:szCs w:val="28"/>
          <w:lang w:val="en-US"/>
        </w:rPr>
        <w:t>content</w:t>
      </w:r>
      <w:r w:rsidR="00073BA9" w:rsidRPr="008D7E0B">
        <w:rPr>
          <w:b/>
          <w:sz w:val="28"/>
          <w:szCs w:val="28"/>
          <w:lang w:val="en-US"/>
        </w:rPr>
        <w:t xml:space="preserve"> of Working Paper CLIO-INFRA</w:t>
      </w:r>
    </w:p>
    <w:p w:rsidR="0022249F" w:rsidRDefault="0022249F" w:rsidP="0022249F">
      <w:pPr>
        <w:rPr>
          <w:b/>
          <w:lang w:val="en-US"/>
        </w:rPr>
      </w:pPr>
    </w:p>
    <w:p w:rsidR="008D7E0B" w:rsidRPr="008D7E0B" w:rsidRDefault="008D7E0B" w:rsidP="0022249F">
      <w:pPr>
        <w:rPr>
          <w:b/>
          <w:i/>
          <w:u w:val="single"/>
          <w:lang w:val="en-US"/>
        </w:rPr>
      </w:pPr>
      <w:r w:rsidRPr="008D7E0B">
        <w:rPr>
          <w:b/>
          <w:i/>
          <w:u w:val="single"/>
          <w:lang w:val="en-US"/>
        </w:rPr>
        <w:t>Please include the following elements into any working paper entered into the CLIO-INFRA system:</w:t>
      </w:r>
    </w:p>
    <w:p w:rsidR="009E3A8C" w:rsidRDefault="009E3A8C" w:rsidP="0022249F">
      <w:pPr>
        <w:rPr>
          <w:lang w:val="en-US"/>
        </w:rPr>
      </w:pP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r>
      <w:r w:rsidR="00B333B0">
        <w:rPr>
          <w:lang w:val="en-US"/>
        </w:rPr>
        <w:t>Silver</w:t>
      </w:r>
      <w:r w:rsidR="0086103D">
        <w:rPr>
          <w:lang w:val="en-US"/>
        </w:rPr>
        <w:t xml:space="preserve"> mining</w:t>
      </w:r>
      <w:r w:rsidR="00C04A5B">
        <w:rPr>
          <w:lang w:val="en-US"/>
        </w:rPr>
        <w:t xml:space="preserve"> production </w:t>
      </w:r>
      <w:r w:rsidR="003E3E24">
        <w:rPr>
          <w:lang w:val="en-US"/>
        </w:rPr>
        <w:t>by decade and country</w:t>
      </w:r>
    </w:p>
    <w:p w:rsidR="0022249F" w:rsidRPr="0018052F" w:rsidRDefault="0022249F" w:rsidP="0022249F">
      <w:r w:rsidRPr="0018052F">
        <w:t>2. Author</w:t>
      </w:r>
      <w:r w:rsidR="00E42E4F" w:rsidRPr="0018052F">
        <w:t>(s)</w:t>
      </w:r>
    </w:p>
    <w:p w:rsidR="00DF2464" w:rsidRPr="00514925" w:rsidRDefault="00DF2464" w:rsidP="003E3E24">
      <w:r w:rsidRPr="0018052F">
        <w:tab/>
      </w:r>
      <w:r w:rsidR="00C92762" w:rsidRPr="00514925">
        <w:t>Kees Klein Goldewijk</w:t>
      </w:r>
      <w:r w:rsidR="00514925" w:rsidRPr="00514925">
        <w:t xml:space="preserve"> &amp; Jonathan Fink-Jensen</w:t>
      </w:r>
      <w:r w:rsidR="00C92762" w:rsidRPr="00514925">
        <w:t>, Utrecht University</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r>
      <w:r w:rsidR="00425021">
        <w:rPr>
          <w:lang w:val="en-US"/>
        </w:rPr>
        <w:t>201</w:t>
      </w:r>
      <w:r w:rsidR="00514925">
        <w:rPr>
          <w:lang w:val="en-US"/>
        </w:rPr>
        <w:t>4</w:t>
      </w:r>
      <w:r w:rsidR="00425021">
        <w:rPr>
          <w:lang w:val="en-US"/>
        </w:rPr>
        <w:t>-</w:t>
      </w:r>
      <w:r w:rsidR="00514925">
        <w:rPr>
          <w:lang w:val="en-US"/>
        </w:rPr>
        <w:t>11</w:t>
      </w:r>
      <w:r w:rsidR="00425021">
        <w:rPr>
          <w:lang w:val="en-US"/>
        </w:rPr>
        <w:t>-</w:t>
      </w:r>
      <w:r w:rsidR="0086103D">
        <w:rPr>
          <w:lang w:val="en-US"/>
        </w:rPr>
        <w:t>1</w:t>
      </w:r>
      <w:r w:rsidR="0018052F">
        <w:rPr>
          <w:lang w:val="en-US"/>
        </w:rPr>
        <w:t>2</w:t>
      </w:r>
      <w:r w:rsidR="008D7E0B">
        <w:rPr>
          <w:lang w:val="en-US"/>
        </w:rPr>
        <w:t>.</w:t>
      </w: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r>
      <w:r w:rsidR="003E3E24">
        <w:rPr>
          <w:lang w:val="en-US"/>
        </w:rPr>
        <w:t>1</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r>
      <w:r w:rsidR="00C92762">
        <w:rPr>
          <w:lang w:val="en-US"/>
        </w:rPr>
        <w:t>Environmental sustainability</w:t>
      </w:r>
    </w:p>
    <w:p w:rsidR="0022249F" w:rsidRDefault="008D7E0B" w:rsidP="0022249F">
      <w:pPr>
        <w:rPr>
          <w:lang w:val="en-US"/>
        </w:rPr>
      </w:pPr>
      <w:r>
        <w:rPr>
          <w:lang w:val="en-US"/>
        </w:rPr>
        <w:t>6</w:t>
      </w:r>
      <w:r w:rsidR="0022249F" w:rsidRPr="00E42E4F">
        <w:rPr>
          <w:lang w:val="en-US"/>
        </w:rPr>
        <w:t>. Variable</w:t>
      </w:r>
      <w:r>
        <w:rPr>
          <w:lang w:val="en-US"/>
        </w:rPr>
        <w:t>(s)</w:t>
      </w:r>
    </w:p>
    <w:p w:rsidR="008D7E0B" w:rsidRPr="00E42E4F" w:rsidRDefault="008D7E0B" w:rsidP="0022249F">
      <w:pPr>
        <w:rPr>
          <w:lang w:val="en-US"/>
        </w:rPr>
      </w:pPr>
      <w:r>
        <w:rPr>
          <w:lang w:val="en-US"/>
        </w:rPr>
        <w:tab/>
      </w:r>
      <w:r w:rsidR="00AA5109">
        <w:rPr>
          <w:lang w:val="en-US"/>
        </w:rPr>
        <w:t>Silver</w:t>
      </w:r>
      <w:r w:rsidR="0086103D">
        <w:rPr>
          <w:lang w:val="en-US"/>
        </w:rPr>
        <w:t xml:space="preserve"> mine</w:t>
      </w:r>
      <w:r w:rsidR="00C04A5B">
        <w:rPr>
          <w:lang w:val="en-US"/>
        </w:rPr>
        <w:t xml:space="preserve"> production, in metric tons</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3E3E24">
      <w:pPr>
        <w:rPr>
          <w:lang w:val="en-US"/>
        </w:rPr>
      </w:pPr>
      <w:r>
        <w:rPr>
          <w:lang w:val="en-US"/>
        </w:rPr>
        <w:tab/>
      </w:r>
      <w:r w:rsidR="003E3E24">
        <w:rPr>
          <w:lang w:val="en-US"/>
        </w:rPr>
        <w:t>Country</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r>
      <w:r w:rsidR="00AA5109">
        <w:rPr>
          <w:lang w:val="en-US"/>
        </w:rPr>
        <w:t>Silver, Mine production, Ag</w:t>
      </w:r>
    </w:p>
    <w:p w:rsidR="00E3589C" w:rsidRDefault="00E3589C" w:rsidP="00837923">
      <w:pPr>
        <w:rPr>
          <w:lang w:val="en-US"/>
        </w:rPr>
      </w:pPr>
      <w:r w:rsidRPr="00837923">
        <w:rPr>
          <w:lang w:val="en-US"/>
        </w:rPr>
        <w:t>9</w:t>
      </w:r>
      <w:r w:rsidR="0022249F" w:rsidRPr="00837923">
        <w:rPr>
          <w:lang w:val="en-US"/>
        </w:rPr>
        <w:t>. Abstract (200 words)</w:t>
      </w:r>
    </w:p>
    <w:p w:rsidR="00AA5109" w:rsidRPr="0018052F" w:rsidRDefault="00AA5109" w:rsidP="00920221">
      <w:pPr>
        <w:pStyle w:val="NoSpacing"/>
        <w:ind w:left="708"/>
        <w:jc w:val="both"/>
        <w:rPr>
          <w:lang w:val="en-GB"/>
        </w:rPr>
      </w:pPr>
      <w:r w:rsidRPr="0018052F">
        <w:rPr>
          <w:lang w:val="en-GB"/>
        </w:rPr>
        <w:t>Silver has been used for thousands of years as ornaments and utensils, for trade, and as the basis for many monetary systems. Of all the metals, pure silver has the whitest color, the highest optical reflectivity, and the highest thermal and electrical conductivity. Also, silver halides are photosensitive. Owing to the above properties, silver has many industrial applications such as in mirrors, electrical and electronic products, and photography, which is the largest single end use of silver. Silver's catalytic properties make it ideal for use as a catalyst in oxidation reactions; for example, the production of formaldehyde from methanol and air by means of silver screens or crystallites containing a minimum 99.95 weight-percent silver.</w:t>
      </w:r>
    </w:p>
    <w:p w:rsidR="0022249F" w:rsidRPr="00837923" w:rsidRDefault="0022249F" w:rsidP="00837923">
      <w:pPr>
        <w:rPr>
          <w:lang w:val="en-US"/>
        </w:rPr>
      </w:pPr>
      <w:r w:rsidRPr="00837923">
        <w:rPr>
          <w:lang w:val="en-US"/>
        </w:rPr>
        <w:t>1</w:t>
      </w:r>
      <w:r w:rsidR="00C16C16" w:rsidRPr="00837923">
        <w:rPr>
          <w:lang w:val="en-US"/>
        </w:rPr>
        <w:t>0</w:t>
      </w:r>
      <w:r w:rsidRPr="00837923">
        <w:rPr>
          <w:lang w:val="en-US"/>
        </w:rPr>
        <w:t>. Time period</w:t>
      </w:r>
    </w:p>
    <w:p w:rsidR="00C16C16" w:rsidRDefault="00C16C16" w:rsidP="0022249F">
      <w:pPr>
        <w:rPr>
          <w:lang w:val="en-US"/>
        </w:rPr>
      </w:pPr>
      <w:r>
        <w:rPr>
          <w:lang w:val="en-US"/>
        </w:rPr>
        <w:tab/>
      </w:r>
      <w:r w:rsidR="003E3E24">
        <w:rPr>
          <w:lang w:val="en-US"/>
        </w:rPr>
        <w:t>1</w:t>
      </w:r>
      <w:r w:rsidR="00AA5109">
        <w:rPr>
          <w:lang w:val="en-US"/>
        </w:rPr>
        <w:t>681</w:t>
      </w:r>
      <w:r w:rsidR="003E3E24">
        <w:rPr>
          <w:lang w:val="en-US"/>
        </w:rPr>
        <w:t xml:space="preserve"> -</w:t>
      </w:r>
      <w:r w:rsidR="00514925">
        <w:rPr>
          <w:lang w:val="en-US"/>
        </w:rPr>
        <w:t>2012</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E3E24" w:rsidP="00BA2BA6">
      <w:pPr>
        <w:rPr>
          <w:lang w:val="en-US"/>
        </w:rPr>
      </w:pPr>
      <w:r>
        <w:rPr>
          <w:lang w:val="en-US"/>
        </w:rPr>
        <w:tab/>
        <w:t>Worldwide</w:t>
      </w:r>
    </w:p>
    <w:p w:rsidR="00254101" w:rsidRDefault="00BA2BA6" w:rsidP="00254101">
      <w:pPr>
        <w:rPr>
          <w:lang w:val="en-US"/>
        </w:rPr>
      </w:pPr>
      <w:r w:rsidRPr="00E42E4F">
        <w:rPr>
          <w:lang w:val="en-US"/>
        </w:rPr>
        <w:t>1</w:t>
      </w:r>
      <w:r w:rsidR="003132A6">
        <w:rPr>
          <w:lang w:val="en-US"/>
        </w:rPr>
        <w:t>2</w:t>
      </w:r>
      <w:r w:rsidRPr="00E42E4F">
        <w:rPr>
          <w:lang w:val="en-US"/>
        </w:rPr>
        <w:t>. Methodologies used for data collection and processing</w:t>
      </w:r>
    </w:p>
    <w:p w:rsidR="00F83003" w:rsidRPr="00460F8A" w:rsidRDefault="00C04A5B" w:rsidP="00254101">
      <w:pPr>
        <w:ind w:firstLine="708"/>
        <w:rPr>
          <w:lang w:val="en-US"/>
        </w:rPr>
      </w:pPr>
      <w:r w:rsidRPr="00460F8A">
        <w:rPr>
          <w:rFonts w:cs="Calibri"/>
          <w:lang w:val="en-US"/>
        </w:rPr>
        <w:t>Data inventory</w:t>
      </w:r>
    </w:p>
    <w:p w:rsidR="0022249F" w:rsidRPr="00E42E4F" w:rsidRDefault="003132A6" w:rsidP="00254101">
      <w:pPr>
        <w:rPr>
          <w:lang w:val="en-US"/>
        </w:rPr>
      </w:pPr>
      <w:r>
        <w:rPr>
          <w:lang w:val="en-US"/>
        </w:rPr>
        <w:t>13</w:t>
      </w:r>
      <w:r w:rsidR="0022249F" w:rsidRPr="00E42E4F">
        <w:rPr>
          <w:lang w:val="en-US"/>
        </w:rPr>
        <w:t>. Data quality</w:t>
      </w:r>
    </w:p>
    <w:p w:rsidR="00397401" w:rsidRDefault="003132A6" w:rsidP="004F370D">
      <w:pPr>
        <w:rPr>
          <w:lang w:val="en-US"/>
        </w:rPr>
      </w:pPr>
      <w:r>
        <w:rPr>
          <w:lang w:val="en-US"/>
        </w:rPr>
        <w:tab/>
      </w:r>
      <w:r w:rsidR="00C04A5B">
        <w:rPr>
          <w:lang w:val="en-US"/>
        </w:rPr>
        <w:t>Good</w:t>
      </w:r>
    </w:p>
    <w:p w:rsidR="0022249F" w:rsidRPr="00E42E4F" w:rsidRDefault="003132A6" w:rsidP="0022249F">
      <w:pPr>
        <w:rPr>
          <w:lang w:val="en-US"/>
        </w:rPr>
      </w:pPr>
      <w:r>
        <w:rPr>
          <w:lang w:val="en-US"/>
        </w:rPr>
        <w:t>14</w:t>
      </w:r>
      <w:r w:rsidR="0022249F" w:rsidRPr="00E42E4F">
        <w:rPr>
          <w:lang w:val="en-US"/>
        </w:rPr>
        <w:t>. Date of collection</w:t>
      </w:r>
    </w:p>
    <w:p w:rsidR="003132A6" w:rsidRDefault="003132A6" w:rsidP="0022249F">
      <w:pPr>
        <w:rPr>
          <w:lang w:val="en-US"/>
        </w:rPr>
      </w:pPr>
      <w:r>
        <w:rPr>
          <w:lang w:val="en-US"/>
        </w:rPr>
        <w:tab/>
      </w:r>
      <w:r w:rsidR="00C608A3">
        <w:rPr>
          <w:lang w:val="en-US"/>
        </w:rPr>
        <w:t>-</w:t>
      </w:r>
    </w:p>
    <w:p w:rsidR="0018052F" w:rsidRPr="00E42E4F" w:rsidRDefault="0018052F" w:rsidP="0018052F">
      <w:pPr>
        <w:rPr>
          <w:lang w:val="en-US"/>
        </w:rPr>
      </w:pPr>
      <w:r>
        <w:rPr>
          <w:lang w:val="en-US"/>
        </w:rPr>
        <w:t>15</w:t>
      </w:r>
      <w:r w:rsidRPr="00E42E4F">
        <w:rPr>
          <w:lang w:val="en-US"/>
        </w:rPr>
        <w:t>. Data collectors</w:t>
      </w:r>
    </w:p>
    <w:p w:rsidR="0018052F" w:rsidRDefault="0018052F" w:rsidP="0018052F">
      <w:pPr>
        <w:rPr>
          <w:lang w:val="en-US"/>
        </w:rPr>
      </w:pPr>
      <w:r>
        <w:rPr>
          <w:lang w:val="en-US"/>
        </w:rPr>
        <w:tab/>
        <w:t>BGS, Mitchell, Schmitz, USGS.</w:t>
      </w:r>
    </w:p>
    <w:p w:rsidR="0018052F" w:rsidRDefault="0018052F" w:rsidP="0018052F">
      <w:pPr>
        <w:rPr>
          <w:lang w:val="en-US"/>
        </w:rPr>
      </w:pPr>
      <w:r w:rsidRPr="00E42E4F">
        <w:rPr>
          <w:lang w:val="en-US"/>
        </w:rPr>
        <w:t>1</w:t>
      </w:r>
      <w:r>
        <w:rPr>
          <w:lang w:val="en-US"/>
        </w:rPr>
        <w:t>6</w:t>
      </w:r>
      <w:r w:rsidRPr="00E42E4F">
        <w:rPr>
          <w:lang w:val="en-US"/>
        </w:rPr>
        <w:t>. Sources</w:t>
      </w:r>
    </w:p>
    <w:p w:rsidR="0018052F" w:rsidRDefault="0018052F" w:rsidP="0018052F">
      <w:pPr>
        <w:pStyle w:val="NoSpacing"/>
        <w:numPr>
          <w:ilvl w:val="0"/>
          <w:numId w:val="3"/>
        </w:numPr>
        <w:rPr>
          <w:lang w:val="en-GB"/>
        </w:rPr>
      </w:pPr>
      <w:r>
        <w:rPr>
          <w:lang w:val="en-GB"/>
        </w:rPr>
        <w:t xml:space="preserve">BGS, British Geological Survey. </w:t>
      </w:r>
      <w:r w:rsidRPr="00845E10">
        <w:rPr>
          <w:lang w:val="en-GB"/>
        </w:rPr>
        <w:t>https://www.bgs.ac.uk/</w:t>
      </w:r>
    </w:p>
    <w:p w:rsidR="0018052F" w:rsidRDefault="0018052F" w:rsidP="0018052F">
      <w:pPr>
        <w:pStyle w:val="NoSpacing"/>
        <w:numPr>
          <w:ilvl w:val="0"/>
          <w:numId w:val="3"/>
        </w:numPr>
        <w:rPr>
          <w:lang w:val="en-GB"/>
        </w:rPr>
      </w:pPr>
      <w:r>
        <w:rPr>
          <w:lang w:val="en-GB"/>
        </w:rPr>
        <w:t xml:space="preserve">Mitchell, B.R., </w:t>
      </w:r>
      <w:r>
        <w:rPr>
          <w:i/>
          <w:lang w:val="en-GB"/>
        </w:rPr>
        <w:t>International Historical Statistics – Africa, Asia &amp; Oceania 1750-1993</w:t>
      </w:r>
      <w:r>
        <w:rPr>
          <w:lang w:val="en-GB"/>
        </w:rPr>
        <w:t xml:space="preserve"> (London, 1998).</w:t>
      </w:r>
    </w:p>
    <w:p w:rsidR="0018052F" w:rsidRDefault="0018052F" w:rsidP="0018052F">
      <w:pPr>
        <w:pStyle w:val="NoSpacing"/>
        <w:numPr>
          <w:ilvl w:val="0"/>
          <w:numId w:val="3"/>
        </w:numPr>
        <w:rPr>
          <w:lang w:val="en-GB"/>
        </w:rPr>
      </w:pPr>
      <w:r>
        <w:rPr>
          <w:lang w:val="en-GB"/>
        </w:rPr>
        <w:t xml:space="preserve">Mitchell, B.R., </w:t>
      </w:r>
      <w:r>
        <w:rPr>
          <w:i/>
          <w:lang w:val="en-GB"/>
        </w:rPr>
        <w:t>International Historical Statistics – Europe</w:t>
      </w:r>
      <w:r>
        <w:rPr>
          <w:lang w:val="en-GB"/>
        </w:rPr>
        <w:t xml:space="preserve"> (London, 1998).</w:t>
      </w:r>
    </w:p>
    <w:p w:rsidR="0018052F" w:rsidRDefault="0018052F" w:rsidP="0018052F">
      <w:pPr>
        <w:pStyle w:val="NoSpacing"/>
        <w:numPr>
          <w:ilvl w:val="0"/>
          <w:numId w:val="3"/>
        </w:numPr>
        <w:rPr>
          <w:lang w:val="en-GB"/>
        </w:rPr>
      </w:pPr>
      <w:r>
        <w:rPr>
          <w:lang w:val="en-GB"/>
        </w:rPr>
        <w:t xml:space="preserve">Mitchell, B.R., </w:t>
      </w:r>
      <w:r>
        <w:rPr>
          <w:i/>
          <w:lang w:val="en-GB"/>
        </w:rPr>
        <w:t>International Historical Statistics – The Americas 1750-1993</w:t>
      </w:r>
      <w:r>
        <w:rPr>
          <w:lang w:val="en-GB"/>
        </w:rPr>
        <w:t xml:space="preserve"> (London, 1998).</w:t>
      </w:r>
    </w:p>
    <w:p w:rsidR="0018052F" w:rsidRPr="0018052F" w:rsidRDefault="0018052F" w:rsidP="0018052F">
      <w:pPr>
        <w:pStyle w:val="NoSpacing"/>
        <w:numPr>
          <w:ilvl w:val="0"/>
          <w:numId w:val="3"/>
        </w:numPr>
        <w:ind w:left="708"/>
        <w:rPr>
          <w:lang w:val="fr-FR"/>
        </w:rPr>
      </w:pPr>
      <w:r w:rsidRPr="0018052F">
        <w:rPr>
          <w:lang w:val="en-GB"/>
        </w:rPr>
        <w:t xml:space="preserve">Schmitz, Christopher J., </w:t>
      </w:r>
      <w:r w:rsidRPr="0018052F">
        <w:rPr>
          <w:i/>
          <w:lang w:val="en-GB"/>
        </w:rPr>
        <w:t>World Non-Ferrous Metal Production and Prices, 1700-1976</w:t>
      </w:r>
      <w:r w:rsidRPr="0018052F">
        <w:rPr>
          <w:lang w:val="en-GB"/>
        </w:rPr>
        <w:t xml:space="preserve"> (London, 1979).</w:t>
      </w:r>
    </w:p>
    <w:p w:rsidR="00C37B8D" w:rsidRPr="0018052F" w:rsidRDefault="0018052F" w:rsidP="0018052F">
      <w:pPr>
        <w:pStyle w:val="NoSpacing"/>
        <w:numPr>
          <w:ilvl w:val="0"/>
          <w:numId w:val="3"/>
        </w:numPr>
        <w:ind w:left="708"/>
        <w:rPr>
          <w:lang w:val="fr-FR"/>
        </w:rPr>
      </w:pPr>
      <w:r w:rsidRPr="0018052F">
        <w:rPr>
          <w:lang w:val="fr-FR"/>
        </w:rPr>
        <w:t xml:space="preserve"> </w:t>
      </w:r>
      <w:hyperlink r:id="rId6" w:history="1">
        <w:r w:rsidRPr="0018052F">
          <w:rPr>
            <w:rStyle w:val="Hyperlink"/>
            <w:lang w:val="fr-FR"/>
          </w:rPr>
          <w:t>http://minerals.usgs.gov/minerals/pubs/commodity/silver/</w:t>
        </w:r>
      </w:hyperlink>
      <w:r w:rsidRPr="0018052F">
        <w:rPr>
          <w:lang w:val="fr-FR"/>
        </w:rPr>
        <w:t xml:space="preserve"> </w:t>
      </w:r>
      <w:bookmarkStart w:id="0" w:name="_GoBack"/>
      <w:bookmarkEnd w:id="0"/>
    </w:p>
    <w:sectPr w:rsidR="00C37B8D" w:rsidRPr="0018052F"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B3FB0"/>
    <w:multiLevelType w:val="multilevel"/>
    <w:tmpl w:val="277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C3B87"/>
    <w:multiLevelType w:val="multilevel"/>
    <w:tmpl w:val="C3F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E3498"/>
    <w:multiLevelType w:val="hybridMultilevel"/>
    <w:tmpl w:val="C6BCB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Glob Ecol Biogeog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vrswra2bs05whe9wzrv2xzewztserdaa5r0&quot;&gt;HYDE&lt;record-ids&gt;&lt;item&gt;1097&lt;/item&gt;&lt;item&gt;1138&lt;/item&gt;&lt;item&gt;1140&lt;/item&gt;&lt;item&gt;1143&lt;/item&gt;&lt;/record-ids&gt;&lt;/item&gt;&lt;/Libraries&gt;"/>
  </w:docVars>
  <w:rsids>
    <w:rsidRoot w:val="00073BA9"/>
    <w:rsid w:val="0001485D"/>
    <w:rsid w:val="000558DF"/>
    <w:rsid w:val="00073BA9"/>
    <w:rsid w:val="000C643A"/>
    <w:rsid w:val="0017053C"/>
    <w:rsid w:val="0018052F"/>
    <w:rsid w:val="001A7505"/>
    <w:rsid w:val="002004D8"/>
    <w:rsid w:val="0022249F"/>
    <w:rsid w:val="00254101"/>
    <w:rsid w:val="00293FEA"/>
    <w:rsid w:val="002B22C9"/>
    <w:rsid w:val="002C4B3C"/>
    <w:rsid w:val="002F1E8F"/>
    <w:rsid w:val="003132A6"/>
    <w:rsid w:val="0034320D"/>
    <w:rsid w:val="00381BA2"/>
    <w:rsid w:val="00397401"/>
    <w:rsid w:val="003A1CAB"/>
    <w:rsid w:val="003A7023"/>
    <w:rsid w:val="003E3E24"/>
    <w:rsid w:val="00415EE2"/>
    <w:rsid w:val="00425021"/>
    <w:rsid w:val="00460F8A"/>
    <w:rsid w:val="004874D8"/>
    <w:rsid w:val="0049543E"/>
    <w:rsid w:val="004A6AB6"/>
    <w:rsid w:val="004E371B"/>
    <w:rsid w:val="004E74F1"/>
    <w:rsid w:val="004F370D"/>
    <w:rsid w:val="00514925"/>
    <w:rsid w:val="00547BD8"/>
    <w:rsid w:val="0055190C"/>
    <w:rsid w:val="005D7DE0"/>
    <w:rsid w:val="00602002"/>
    <w:rsid w:val="006E5069"/>
    <w:rsid w:val="00701732"/>
    <w:rsid w:val="00746BB5"/>
    <w:rsid w:val="00752D83"/>
    <w:rsid w:val="00780B6A"/>
    <w:rsid w:val="0078576F"/>
    <w:rsid w:val="007A56C1"/>
    <w:rsid w:val="00830E2C"/>
    <w:rsid w:val="00837923"/>
    <w:rsid w:val="0086103D"/>
    <w:rsid w:val="008B35C4"/>
    <w:rsid w:val="008C2A88"/>
    <w:rsid w:val="008D7E0B"/>
    <w:rsid w:val="00920221"/>
    <w:rsid w:val="009B604E"/>
    <w:rsid w:val="009D1711"/>
    <w:rsid w:val="009E3A8C"/>
    <w:rsid w:val="00A47BA7"/>
    <w:rsid w:val="00A70BA2"/>
    <w:rsid w:val="00AA38A4"/>
    <w:rsid w:val="00AA5109"/>
    <w:rsid w:val="00AB512D"/>
    <w:rsid w:val="00AE4E50"/>
    <w:rsid w:val="00B216A9"/>
    <w:rsid w:val="00B333B0"/>
    <w:rsid w:val="00B34BC4"/>
    <w:rsid w:val="00B53929"/>
    <w:rsid w:val="00BA2BA6"/>
    <w:rsid w:val="00BA77C4"/>
    <w:rsid w:val="00BB5DD2"/>
    <w:rsid w:val="00BD11A5"/>
    <w:rsid w:val="00C04A5B"/>
    <w:rsid w:val="00C16C16"/>
    <w:rsid w:val="00C37B8D"/>
    <w:rsid w:val="00C608A3"/>
    <w:rsid w:val="00C92762"/>
    <w:rsid w:val="00CB59EE"/>
    <w:rsid w:val="00CF11A8"/>
    <w:rsid w:val="00D943F7"/>
    <w:rsid w:val="00DF2464"/>
    <w:rsid w:val="00E3589C"/>
    <w:rsid w:val="00E42AA0"/>
    <w:rsid w:val="00E42E4F"/>
    <w:rsid w:val="00ED177B"/>
    <w:rsid w:val="00F777BE"/>
    <w:rsid w:val="00F83003"/>
    <w:rsid w:val="00F94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character" w:styleId="Strong">
    <w:name w:val="Strong"/>
    <w:uiPriority w:val="22"/>
    <w:qFormat/>
    <w:rsid w:val="00B34BC4"/>
    <w:rPr>
      <w:b/>
      <w:bCs/>
    </w:rPr>
  </w:style>
  <w:style w:type="paragraph" w:styleId="NormalWeb">
    <w:name w:val="Normal (Web)"/>
    <w:basedOn w:val="Normal"/>
    <w:uiPriority w:val="99"/>
    <w:unhideWhenUsed/>
    <w:rsid w:val="00F83003"/>
    <w:pPr>
      <w:spacing w:before="100" w:beforeAutospacing="1" w:after="100" w:afterAutospacing="1"/>
    </w:pPr>
    <w:rPr>
      <w:rFonts w:ascii="Times New Roman" w:eastAsia="Times New Roman" w:hAnsi="Times New Roman"/>
      <w:sz w:val="24"/>
      <w:szCs w:val="24"/>
      <w:lang w:val="en-US"/>
    </w:rPr>
  </w:style>
  <w:style w:type="paragraph" w:customStyle="1" w:styleId="Pa17">
    <w:name w:val="Pa17"/>
    <w:basedOn w:val="Default"/>
    <w:next w:val="Default"/>
    <w:uiPriority w:val="99"/>
    <w:rsid w:val="00F944AC"/>
    <w:pPr>
      <w:spacing w:line="321" w:lineRule="atLeast"/>
    </w:pPr>
    <w:rPr>
      <w:rFonts w:ascii="Univers 47 CondensedLight" w:hAnsi="Univers 47 CondensedLight" w:cs="Times New Roman"/>
      <w:color w:val="auto"/>
    </w:rPr>
  </w:style>
  <w:style w:type="paragraph" w:customStyle="1" w:styleId="Pa23">
    <w:name w:val="Pa23"/>
    <w:basedOn w:val="Default"/>
    <w:next w:val="Default"/>
    <w:uiPriority w:val="99"/>
    <w:rsid w:val="00F944AC"/>
    <w:pPr>
      <w:spacing w:line="201" w:lineRule="atLeast"/>
    </w:pPr>
    <w:rPr>
      <w:rFonts w:ascii="Univers 47 CondensedLight" w:hAnsi="Univers 47 CondensedLight" w:cs="Times New Roman"/>
      <w:color w:val="auto"/>
    </w:rPr>
  </w:style>
  <w:style w:type="paragraph" w:customStyle="1" w:styleId="Pa1">
    <w:name w:val="Pa1"/>
    <w:basedOn w:val="Default"/>
    <w:next w:val="Default"/>
    <w:uiPriority w:val="99"/>
    <w:rsid w:val="00F944AC"/>
    <w:pPr>
      <w:spacing w:line="281" w:lineRule="atLeast"/>
    </w:pPr>
    <w:rPr>
      <w:rFonts w:ascii="Univers 57 Condensed" w:hAnsi="Univers 57 Condensed" w:cs="Times New Roman"/>
      <w:color w:val="auto"/>
    </w:rPr>
  </w:style>
  <w:style w:type="paragraph" w:styleId="NoSpacing">
    <w:name w:val="No Spacing"/>
    <w:uiPriority w:val="1"/>
    <w:qFormat/>
    <w:rsid w:val="00AA510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character" w:styleId="Strong">
    <w:name w:val="Strong"/>
    <w:uiPriority w:val="22"/>
    <w:qFormat/>
    <w:rsid w:val="00B34BC4"/>
    <w:rPr>
      <w:b/>
      <w:bCs/>
    </w:rPr>
  </w:style>
  <w:style w:type="paragraph" w:styleId="NormalWeb">
    <w:name w:val="Normal (Web)"/>
    <w:basedOn w:val="Normal"/>
    <w:uiPriority w:val="99"/>
    <w:unhideWhenUsed/>
    <w:rsid w:val="00F83003"/>
    <w:pPr>
      <w:spacing w:before="100" w:beforeAutospacing="1" w:after="100" w:afterAutospacing="1"/>
    </w:pPr>
    <w:rPr>
      <w:rFonts w:ascii="Times New Roman" w:eastAsia="Times New Roman" w:hAnsi="Times New Roman"/>
      <w:sz w:val="24"/>
      <w:szCs w:val="24"/>
      <w:lang w:val="en-US"/>
    </w:rPr>
  </w:style>
  <w:style w:type="paragraph" w:customStyle="1" w:styleId="Pa17">
    <w:name w:val="Pa17"/>
    <w:basedOn w:val="Default"/>
    <w:next w:val="Default"/>
    <w:uiPriority w:val="99"/>
    <w:rsid w:val="00F944AC"/>
    <w:pPr>
      <w:spacing w:line="321" w:lineRule="atLeast"/>
    </w:pPr>
    <w:rPr>
      <w:rFonts w:ascii="Univers 47 CondensedLight" w:hAnsi="Univers 47 CondensedLight" w:cs="Times New Roman"/>
      <w:color w:val="auto"/>
    </w:rPr>
  </w:style>
  <w:style w:type="paragraph" w:customStyle="1" w:styleId="Pa23">
    <w:name w:val="Pa23"/>
    <w:basedOn w:val="Default"/>
    <w:next w:val="Default"/>
    <w:uiPriority w:val="99"/>
    <w:rsid w:val="00F944AC"/>
    <w:pPr>
      <w:spacing w:line="201" w:lineRule="atLeast"/>
    </w:pPr>
    <w:rPr>
      <w:rFonts w:ascii="Univers 47 CondensedLight" w:hAnsi="Univers 47 CondensedLight" w:cs="Times New Roman"/>
      <w:color w:val="auto"/>
    </w:rPr>
  </w:style>
  <w:style w:type="paragraph" w:customStyle="1" w:styleId="Pa1">
    <w:name w:val="Pa1"/>
    <w:basedOn w:val="Default"/>
    <w:next w:val="Default"/>
    <w:uiPriority w:val="99"/>
    <w:rsid w:val="00F944AC"/>
    <w:pPr>
      <w:spacing w:line="281" w:lineRule="atLeast"/>
    </w:pPr>
    <w:rPr>
      <w:rFonts w:ascii="Univers 57 Condensed" w:hAnsi="Univers 57 Condensed" w:cs="Times New Roman"/>
      <w:color w:val="auto"/>
    </w:rPr>
  </w:style>
  <w:style w:type="paragraph" w:styleId="NoSpacing">
    <w:name w:val="No Spacing"/>
    <w:uiPriority w:val="1"/>
    <w:qFormat/>
    <w:rsid w:val="00AA510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86116">
      <w:bodyDiv w:val="1"/>
      <w:marLeft w:val="0"/>
      <w:marRight w:val="0"/>
      <w:marTop w:val="0"/>
      <w:marBottom w:val="0"/>
      <w:divBdr>
        <w:top w:val="none" w:sz="0" w:space="0" w:color="auto"/>
        <w:left w:val="none" w:sz="0" w:space="0" w:color="auto"/>
        <w:bottom w:val="none" w:sz="0" w:space="0" w:color="auto"/>
        <w:right w:val="none" w:sz="0" w:space="0" w:color="auto"/>
      </w:divBdr>
    </w:div>
    <w:div w:id="540635121">
      <w:bodyDiv w:val="1"/>
      <w:marLeft w:val="0"/>
      <w:marRight w:val="0"/>
      <w:marTop w:val="0"/>
      <w:marBottom w:val="0"/>
      <w:divBdr>
        <w:top w:val="none" w:sz="0" w:space="0" w:color="auto"/>
        <w:left w:val="none" w:sz="0" w:space="0" w:color="auto"/>
        <w:bottom w:val="none" w:sz="0" w:space="0" w:color="auto"/>
        <w:right w:val="none" w:sz="0" w:space="0" w:color="auto"/>
      </w:divBdr>
    </w:div>
    <w:div w:id="1167482964">
      <w:bodyDiv w:val="1"/>
      <w:marLeft w:val="0"/>
      <w:marRight w:val="0"/>
      <w:marTop w:val="0"/>
      <w:marBottom w:val="0"/>
      <w:divBdr>
        <w:top w:val="none" w:sz="0" w:space="0" w:color="auto"/>
        <w:left w:val="none" w:sz="0" w:space="0" w:color="auto"/>
        <w:bottom w:val="none" w:sz="0" w:space="0" w:color="auto"/>
        <w:right w:val="none" w:sz="0" w:space="0" w:color="auto"/>
      </w:divBdr>
      <w:divsChild>
        <w:div w:id="493110198">
          <w:marLeft w:val="0"/>
          <w:marRight w:val="0"/>
          <w:marTop w:val="0"/>
          <w:marBottom w:val="0"/>
          <w:divBdr>
            <w:top w:val="none" w:sz="0" w:space="0" w:color="auto"/>
            <w:left w:val="none" w:sz="0" w:space="0" w:color="auto"/>
            <w:bottom w:val="none" w:sz="0" w:space="0" w:color="auto"/>
            <w:right w:val="none" w:sz="0" w:space="0" w:color="auto"/>
          </w:divBdr>
          <w:divsChild>
            <w:div w:id="2138252058">
              <w:marLeft w:val="0"/>
              <w:marRight w:val="0"/>
              <w:marTop w:val="0"/>
              <w:marBottom w:val="0"/>
              <w:divBdr>
                <w:top w:val="none" w:sz="0" w:space="0" w:color="auto"/>
                <w:left w:val="none" w:sz="0" w:space="0" w:color="auto"/>
                <w:bottom w:val="none" w:sz="0" w:space="0" w:color="auto"/>
                <w:right w:val="none" w:sz="0" w:space="0" w:color="auto"/>
              </w:divBdr>
              <w:divsChild>
                <w:div w:id="237903259">
                  <w:marLeft w:val="0"/>
                  <w:marRight w:val="0"/>
                  <w:marTop w:val="0"/>
                  <w:marBottom w:val="0"/>
                  <w:divBdr>
                    <w:top w:val="none" w:sz="0" w:space="0" w:color="auto"/>
                    <w:left w:val="none" w:sz="0" w:space="0" w:color="auto"/>
                    <w:bottom w:val="none" w:sz="0" w:space="0" w:color="auto"/>
                    <w:right w:val="none" w:sz="0" w:space="0" w:color="auto"/>
                  </w:divBdr>
                  <w:divsChild>
                    <w:div w:id="125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erals.usgs.gov/minerals/pubs/commodity/sil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1765</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Required content of Working Paper CLIO-INFRA</vt:lpstr>
      <vt:lpstr>Required content of Working Paper CLIO-INFRA</vt:lpstr>
    </vt:vector>
  </TitlesOfParts>
  <Company>IISG</Company>
  <LinksUpToDate>false</LinksUpToDate>
  <CharactersWithSpaces>2081</CharactersWithSpaces>
  <SharedDoc>false</SharedDoc>
  <HLinks>
    <vt:vector size="36" baseType="variant">
      <vt:variant>
        <vt:i4>327748</vt:i4>
      </vt:variant>
      <vt:variant>
        <vt:i4>15</vt:i4>
      </vt:variant>
      <vt:variant>
        <vt:i4>0</vt:i4>
      </vt:variant>
      <vt:variant>
        <vt:i4>5</vt:i4>
      </vt:variant>
      <vt:variant>
        <vt:lpwstr>http://minerals.usgs.gov/minerals/pubs/historical-statistics/</vt:lpwstr>
      </vt:variant>
      <vt:variant>
        <vt:lpwstr/>
      </vt:variant>
      <vt:variant>
        <vt:i4>4456536</vt:i4>
      </vt:variant>
      <vt:variant>
        <vt:i4>12</vt:i4>
      </vt:variant>
      <vt:variant>
        <vt:i4>0</vt:i4>
      </vt:variant>
      <vt:variant>
        <vt:i4>5</vt:i4>
      </vt:variant>
      <vt:variant>
        <vt:lpwstr>http://unstats.un.org/unsd/databases.htm</vt:lpwstr>
      </vt:variant>
      <vt:variant>
        <vt:lpwstr/>
      </vt:variant>
      <vt:variant>
        <vt:i4>393228</vt:i4>
      </vt:variant>
      <vt:variant>
        <vt:i4>9</vt:i4>
      </vt:variant>
      <vt:variant>
        <vt:i4>0</vt:i4>
      </vt:variant>
      <vt:variant>
        <vt:i4>5</vt:i4>
      </vt:variant>
      <vt:variant>
        <vt:lpwstr>https://www.bgs.ac.uk/mineralsuk/statistics/worldArchive.html</vt:lpwstr>
      </vt:variant>
      <vt:variant>
        <vt:lpwstr/>
      </vt:variant>
      <vt:variant>
        <vt:i4>5701697</vt:i4>
      </vt:variant>
      <vt:variant>
        <vt:i4>6</vt:i4>
      </vt:variant>
      <vt:variant>
        <vt:i4>0</vt:i4>
      </vt:variant>
      <vt:variant>
        <vt:i4>5</vt:i4>
      </vt:variant>
      <vt:variant>
        <vt:lpwstr>http://www.usgs.gov/</vt:lpwstr>
      </vt:variant>
      <vt:variant>
        <vt:lpwstr/>
      </vt:variant>
      <vt:variant>
        <vt:i4>3604606</vt:i4>
      </vt:variant>
      <vt:variant>
        <vt:i4>3</vt:i4>
      </vt:variant>
      <vt:variant>
        <vt:i4>0</vt:i4>
      </vt:variant>
      <vt:variant>
        <vt:i4>5</vt:i4>
      </vt:variant>
      <vt:variant>
        <vt:lpwstr>http://www.doi.gov/</vt:lpwstr>
      </vt:variant>
      <vt:variant>
        <vt:lpwstr/>
      </vt:variant>
      <vt:variant>
        <vt:i4>1638424</vt:i4>
      </vt:variant>
      <vt:variant>
        <vt:i4>0</vt:i4>
      </vt:variant>
      <vt:variant>
        <vt:i4>0</vt:i4>
      </vt:variant>
      <vt:variant>
        <vt:i4>5</vt:i4>
      </vt:variant>
      <vt:variant>
        <vt:lpwstr>http://minerals.usgs.gov/minerals/pubs/commodity/silver/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content of Working Paper CLIO-INFRA</dc:title>
  <dc:subject/>
  <dc:creator>IISG-User</dc:creator>
  <cp:keywords/>
  <cp:lastModifiedBy>Kees Klein Goldewijk</cp:lastModifiedBy>
  <cp:revision>3</cp:revision>
  <cp:lastPrinted>2012-01-02T15:18:00Z</cp:lastPrinted>
  <dcterms:created xsi:type="dcterms:W3CDTF">2014-10-16T18:38:00Z</dcterms:created>
  <dcterms:modified xsi:type="dcterms:W3CDTF">2014-11-13T12:47:00Z</dcterms:modified>
</cp:coreProperties>
</file>