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rPr>
          <w:b w:val="0"/>
          <w:i w:val="0"/>
          <w:sz w:val="20"/>
        </w:rPr>
      </w:r>
    </w:p>
    <w:p>
      <w:pPr>
        <w:spacing w:after="240"/>
        <w:jc w:val="center"/>
      </w:pPr>
      <w:r>
        <w:rPr>
          <w:b/>
          <w:i w:val="0"/>
          <w:color w:val="1A3A5C"/>
          <w:sz w:val="52"/>
        </w:rPr>
        <w:t>AUDIT DE CONFORMITÉ — V6</w:t>
      </w:r>
    </w:p>
    <w:p>
      <w:pPr>
        <w:spacing w:after="160"/>
        <w:jc w:val="center"/>
      </w:pPr>
      <w:r>
        <w:rPr>
          <w:b w:val="0"/>
          <w:i w:val="0"/>
          <w:color w:val="2C5577"/>
          <w:sz w:val="30"/>
        </w:rPr>
        <w:t>Infrastructure de risque de volatilité — EURO STOXX 50</w:t>
      </w:r>
    </w:p>
    <w:p>
      <w:pPr>
        <w:spacing w:after="520"/>
        <w:jc w:val="center"/>
      </w:pPr>
      <w:r>
        <w:rPr>
          <w:b w:val="0"/>
          <w:i/>
          <w:color w:val="6A737D"/>
          <w:sz w:val="22"/>
        </w:rPr>
        <w:t>Projet vs « Industrial Roadmap for a Volatility Infrastructure Platform » v4 (16 étapes, Parts I–XIX) et spécification EURO STOXX 50 du professeur</w:t>
      </w:r>
    </w:p>
    <w:p>
      <w:pPr>
        <w:spacing w:after="80"/>
        <w:jc w:val="center"/>
      </w:pPr>
      <w:r>
        <w:rPr>
          <w:b w:val="0"/>
          <w:i w:val="0"/>
          <w:sz w:val="24"/>
        </w:rPr>
        <w:t>Date de l'audit : 11 juin 2026 (en séance EUREX)</w:t>
      </w:r>
    </w:p>
    <w:p>
      <w:pPr>
        <w:spacing w:after="80"/>
        <w:jc w:val="center"/>
      </w:pPr>
      <w:r>
        <w:rPr>
          <w:b w:val="0"/>
          <w:i w:val="0"/>
          <w:color w:val="6A737D"/>
          <w:sz w:val="21"/>
        </w:rPr>
        <w:t>Particularité V6 : toutes les fermetures sont CONSTATÉES en conditions réelles (run record du 11/06 : 50/51 sous-jacents · 95.9 % usable · grille 7 tenors) + étude de cas d'exploitation (incident market data résolu en séance)</w:t>
      </w:r>
    </w:p>
    <w:p>
      <w:pPr>
        <w:spacing w:after="120"/>
        <w:jc w:val="center"/>
      </w:pPr>
      <w:r>
        <w:rPr>
          <w:b w:val="0"/>
          <w:i w:val="0"/>
          <w:color w:val="6A737D"/>
          <w:sz w:val="20"/>
        </w:rPr>
        <w:t>Baselines : V4 indépendant (08/06 : 9 Conforme · 7 Partiel) — V5 (10/06 : 14 Conforme · 2 Conforme−, validations live partielles)</w:t>
      </w:r>
    </w:p>
    <w:p>
      <w:r>
        <w:br w:type="page"/>
      </w:r>
    </w:p>
    <w:p>
      <w:pPr>
        <w:pStyle w:val="Heading1"/>
      </w:pPr>
      <w:r>
        <w:rPr>
          <w:color w:val="1A3A5C"/>
        </w:rPr>
        <w:t>1. Note de cadrage, méthode et historique des audits</w:t>
      </w:r>
    </w:p>
    <w:p>
      <w:pPr>
        <w:spacing w:after="120"/>
      </w:pPr>
      <w:r>
        <w:rPr>
          <w:b w:val="0"/>
          <w:i w:val="0"/>
          <w:sz w:val="21"/>
        </w:rPr>
        <w:t>Objectif : état de conformité DÉTAILLÉ du projet vs la roadmap du professeur (16 étapes, critères d'acceptance, cadre mathématique Eq.1–25) et la spécification EURO STOXX 50. V6 se distingue de V5 sur trois points : (1) chaque affirmation est adossée à des CHIFFRES mesurés en conditions réelles le 11/06 en séance EUREX ; (2) la note de prudence de V5 (« fermetures testées mais pas encore vues en live ») est LEVÉE ; (3) une étude de cas d'exploitation documente la détection et la résolution d'un incident réel — la roadmap répète que la validation et l'observabilité sont des produits, pas des décorations : l'incident du 11/06 en est la démonstration pratique.</w:t>
      </w:r>
    </w:p>
    <w:p>
      <w:pPr>
        <w:pStyle w:val="Heading2"/>
      </w:pPr>
      <w:r>
        <w:rPr>
          <w:color w:val="2C5577"/>
        </w:rPr>
        <w:t>1.1 Historique des audits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val="clear" w:fill="dbe7f0"/>
          </w:tcPr>
          <w:p>
            <w:r>
              <w:rPr>
                <w:b/>
                <w:sz w:val="18"/>
              </w:rPr>
              <w:t>Audit</w:t>
            </w:r>
          </w:p>
        </w:tc>
        <w:tc>
          <w:tcPr>
            <w:tcW w:type="dxa" w:w="1152"/>
            <w:shd w:val="clear" w:fill="dbe7f0"/>
          </w:tcPr>
          <w:p>
            <w:r>
              <w:rPr>
                <w:b/>
                <w:sz w:val="18"/>
              </w:rPr>
              <w:t>Date</w:t>
            </w:r>
          </w:p>
        </w:tc>
        <w:tc>
          <w:tcPr>
            <w:tcW w:type="dxa" w:w="2016"/>
            <w:shd w:val="clear" w:fill="dbe7f0"/>
          </w:tcPr>
          <w:p>
            <w:r>
              <w:rPr>
                <w:b/>
                <w:sz w:val="18"/>
              </w:rPr>
              <w:t>Verdict</w:t>
            </w:r>
          </w:p>
        </w:tc>
        <w:tc>
          <w:tcPr>
            <w:tcW w:type="dxa" w:w="4752"/>
            <w:shd w:val="clear" w:fill="dbe7f0"/>
          </w:tcPr>
          <w:p>
            <w:r>
              <w:rPr>
                <w:b/>
                <w:sz w:val="18"/>
              </w:rPr>
              <w:t>Nature</w:t>
            </w:r>
          </w:p>
        </w:tc>
      </w:tr>
      <w:tr>
        <w:tc>
          <w:tcPr>
            <w:tcW w:type="dxa" w:w="2016"/>
          </w:tcPr>
          <w:p>
            <w:r>
              <w:rPr>
                <w:sz w:val="18"/>
              </w:rPr>
              <w:t>V2 (auto-audit)</w:t>
            </w:r>
          </w:p>
        </w:tc>
        <w:tc>
          <w:tcPr>
            <w:tcW w:type="dxa" w:w="1152"/>
          </w:tcPr>
          <w:p>
            <w:r>
              <w:rPr>
                <w:sz w:val="18"/>
              </w:rPr>
              <w:t>04/06</w:t>
            </w:r>
          </w:p>
        </w:tc>
        <w:tc>
          <w:tcPr>
            <w:tcW w:type="dxa" w:w="2016"/>
          </w:tcPr>
          <w:p>
            <w:r>
              <w:rPr>
                <w:sz w:val="18"/>
              </w:rPr>
              <w:t>14 C · 2 P</w:t>
            </w:r>
          </w:p>
        </w:tc>
        <w:tc>
          <w:tcPr>
            <w:tcW w:type="dxa" w:w="4752"/>
          </w:tcPr>
          <w:p>
            <w:r>
              <w:rPr>
                <w:sz w:val="18"/>
              </w:rPr>
              <w:t>généré par le projet — jugé trop optimiste</w:t>
            </w:r>
          </w:p>
        </w:tc>
      </w:tr>
      <w:tr>
        <w:tc>
          <w:tcPr>
            <w:tcW w:type="dxa" w:w="2016"/>
          </w:tcPr>
          <w:p>
            <w:r>
              <w:rPr>
                <w:sz w:val="18"/>
              </w:rPr>
              <w:t>V4 (indépendant)</w:t>
            </w:r>
          </w:p>
        </w:tc>
        <w:tc>
          <w:tcPr>
            <w:tcW w:type="dxa" w:w="1152"/>
          </w:tcPr>
          <w:p>
            <w:r>
              <w:rPr>
                <w:sz w:val="18"/>
              </w:rPr>
              <w:t>08/06</w:t>
            </w:r>
          </w:p>
        </w:tc>
        <w:tc>
          <w:tcPr>
            <w:tcW w:type="dxa" w:w="2016"/>
          </w:tcPr>
          <w:p>
            <w:r>
              <w:rPr>
                <w:sz w:val="18"/>
              </w:rPr>
              <w:t>9 C · 7 P</w:t>
            </w:r>
          </w:p>
        </w:tc>
        <w:tc>
          <w:tcPr>
            <w:tcW w:type="dxa" w:w="4752"/>
          </w:tcPr>
          <w:p>
            <w:r>
              <w:rPr>
                <w:sz w:val="18"/>
              </w:rPr>
              <w:t>recoupé dans le code, preuves fichier:ligne</w:t>
            </w:r>
          </w:p>
        </w:tc>
      </w:tr>
      <w:tr>
        <w:tc>
          <w:tcPr>
            <w:tcW w:type="dxa" w:w="2016"/>
          </w:tcPr>
          <w:p>
            <w:r>
              <w:rPr>
                <w:sz w:val="18"/>
              </w:rPr>
              <w:t>V5</w:t>
            </w:r>
          </w:p>
        </w:tc>
        <w:tc>
          <w:tcPr>
            <w:tcW w:type="dxa" w:w="1152"/>
          </w:tcPr>
          <w:p>
            <w:r>
              <w:rPr>
                <w:sz w:val="18"/>
              </w:rPr>
              <w:t>10/06</w:t>
            </w:r>
          </w:p>
        </w:tc>
        <w:tc>
          <w:tcPr>
            <w:tcW w:type="dxa" w:w="2016"/>
          </w:tcPr>
          <w:p>
            <w:r>
              <w:rPr>
                <w:sz w:val="18"/>
              </w:rPr>
              <w:t>14 C · 2 C−</w:t>
            </w:r>
          </w:p>
        </w:tc>
        <w:tc>
          <w:tcPr>
            <w:tcW w:type="dxa" w:w="4752"/>
          </w:tcPr>
          <w:p>
            <w:r>
              <w:rPr>
                <w:sz w:val="18"/>
              </w:rPr>
              <w:t>écarts fermés côté code ; validations live partielles</w:t>
            </w:r>
          </w:p>
        </w:tc>
      </w:tr>
      <w:tr>
        <w:tc>
          <w:tcPr>
            <w:tcW w:type="dxa" w:w="2016"/>
          </w:tcPr>
          <w:p>
            <w:r>
              <w:rPr>
                <w:sz w:val="18"/>
              </w:rPr>
              <w:t>V6 (ce document)</w:t>
            </w:r>
          </w:p>
        </w:tc>
        <w:tc>
          <w:tcPr>
            <w:tcW w:type="dxa" w:w="1152"/>
          </w:tcPr>
          <w:p>
            <w:r>
              <w:rPr>
                <w:sz w:val="18"/>
              </w:rPr>
              <w:t>11/06</w:t>
            </w:r>
          </w:p>
        </w:tc>
        <w:tc>
          <w:tcPr>
            <w:tcW w:type="dxa" w:w="2016"/>
          </w:tcPr>
          <w:p>
            <w:r>
              <w:rPr>
                <w:sz w:val="18"/>
              </w:rPr>
              <w:t>14 C · 2 C−</w:t>
            </w:r>
          </w:p>
        </w:tc>
        <w:tc>
          <w:tcPr>
            <w:tcW w:type="dxa" w:w="4752"/>
          </w:tcPr>
          <w:p>
            <w:r>
              <w:rPr>
                <w:sz w:val="18"/>
              </w:rPr>
              <w:t>TOUT constaté en conditions réelles + incident résolu</w:t>
            </w:r>
          </w:p>
        </w:tc>
      </w:tr>
    </w:tbl>
    <w:p>
      <w:pPr>
        <w:spacing w:after="120"/>
      </w:pPr>
      <w:r>
        <w:rPr>
          <w:b w:val="0"/>
          <w:i/>
          <w:color w:val="6A737D"/>
          <w:sz w:val="18"/>
        </w:rPr>
        <w:t>Échelle : Conforme · Conforme− (réserves mineures d'origine EXTERNE) · Partiel · Manquant.</w:t>
      </w:r>
    </w:p>
    <w:p>
      <w:pPr>
        <w:pStyle w:val="Heading1"/>
      </w:pPr>
      <w:r>
        <w:rPr>
          <w:color w:val="1A3A5C"/>
        </w:rPr>
        <w:t>2. Synthèse exécutive</w:t>
      </w:r>
    </w:p>
    <w:p>
      <w:pPr>
        <w:spacing w:after="80"/>
      </w:pPr>
      <w:r>
        <w:rPr>
          <w:b/>
          <w:i w:val="0"/>
          <w:color w:val="3F8950"/>
          <w:sz w:val="26"/>
        </w:rPr>
        <w:t>Verdict global V6 : 14 Conforme · 2 Conforme− · 0 Partiel · 0 Manquant</w:t>
      </w:r>
    </w:p>
    <w:p>
      <w:pPr>
        <w:spacing w:after="120"/>
      </w:pPr>
      <w:r>
        <w:rPr>
          <w:b w:val="0"/>
          <w:i w:val="0"/>
          <w:sz w:val="21"/>
        </w:rPr>
        <w:t>Le verdict nominal est identique à V5, mais sa NATURE change : en V5, plusieurs fermetures récentes reposaient sur des tests unitaires et des validations hors-ligne ; en V6, chacune a été constatée en séance sur données réelles. Les chiffres clés du run de référence (11/06, 09:24–09:55 UTC) :</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val="clear" w:fill="dbe7f0"/>
          </w:tcPr>
          <w:p>
            <w:r>
              <w:rPr>
                <w:b/>
                <w:sz w:val="18"/>
              </w:rPr>
              <w:t>Indicateur</w:t>
            </w:r>
          </w:p>
        </w:tc>
        <w:tc>
          <w:tcPr>
            <w:tcW w:type="dxa" w:w="2448"/>
            <w:shd w:val="clear" w:fill="dbe7f0"/>
          </w:tcPr>
          <w:p>
            <w:r>
              <w:rPr>
                <w:b/>
                <w:sz w:val="18"/>
              </w:rPr>
              <w:t>Valeur mesurée</w:t>
            </w:r>
          </w:p>
        </w:tc>
        <w:tc>
          <w:tcPr>
            <w:tcW w:type="dxa" w:w="4752"/>
            <w:shd w:val="clear" w:fill="dbe7f0"/>
          </w:tcPr>
          <w:p>
            <w:r>
              <w:rPr>
                <w:b/>
                <w:sz w:val="18"/>
              </w:rPr>
              <w:t>Lecture</w:t>
            </w:r>
          </w:p>
        </w:tc>
      </w:tr>
      <w:tr>
        <w:tc>
          <w:tcPr>
            <w:tcW w:type="dxa" w:w="2736"/>
          </w:tcPr>
          <w:p>
            <w:r>
              <w:rPr>
                <w:sz w:val="18"/>
              </w:rPr>
              <w:t>Sous-jacents collectés</w:t>
            </w:r>
          </w:p>
        </w:tc>
        <w:tc>
          <w:tcPr>
            <w:tcW w:type="dxa" w:w="2448"/>
          </w:tcPr>
          <w:p>
            <w:r>
              <w:rPr>
                <w:sz w:val="18"/>
              </w:rPr>
              <w:t>50 / 51</w:t>
            </w:r>
          </w:p>
        </w:tc>
        <w:tc>
          <w:tcPr>
            <w:tcW w:type="dxa" w:w="4752"/>
          </w:tcPr>
          <w:p>
            <w:r>
              <w:rPr>
                <w:sz w:val="18"/>
              </w:rPr>
              <w:t>seul NDA manque (entitlement Nasdaq Nordic, documenté)</w:t>
            </w:r>
          </w:p>
        </w:tc>
      </w:tr>
      <w:tr>
        <w:tc>
          <w:tcPr>
            <w:tcW w:type="dxa" w:w="2736"/>
          </w:tcPr>
          <w:p>
            <w:r>
              <w:rPr>
                <w:sz w:val="18"/>
              </w:rPr>
              <w:t>Quotes usable</w:t>
            </w:r>
          </w:p>
        </w:tc>
        <w:tc>
          <w:tcPr>
            <w:tcW w:type="dxa" w:w="2448"/>
          </w:tcPr>
          <w:p>
            <w:r>
              <w:rPr>
                <w:sz w:val="18"/>
              </w:rPr>
              <w:t>2 621 / 2 734 (95.9 %)</w:t>
            </w:r>
          </w:p>
        </w:tc>
        <w:tc>
          <w:tcPr>
            <w:tcW w:type="dxa" w:w="4752"/>
          </w:tcPr>
          <w:p>
            <w:r>
              <w:rPr>
                <w:sz w:val="18"/>
              </w:rPr>
              <w:t>record du projet ; reject_reason auditable ligne à ligne</w:t>
            </w:r>
          </w:p>
        </w:tc>
      </w:tr>
      <w:tr>
        <w:tc>
          <w:tcPr>
            <w:tcW w:type="dxa" w:w="2736"/>
          </w:tcPr>
          <w:p>
            <w:r>
              <w:rPr>
                <w:sz w:val="18"/>
              </w:rPr>
              <w:t>Grille de maturités</w:t>
            </w:r>
          </w:p>
        </w:tc>
        <w:tc>
          <w:tcPr>
            <w:tcW w:type="dxa" w:w="2448"/>
          </w:tcPr>
          <w:p>
            <w:r>
              <w:rPr>
                <w:sz w:val="18"/>
              </w:rPr>
              <w:t>7 tenors (29→736 j)</w:t>
            </w:r>
          </w:p>
        </w:tc>
        <w:tc>
          <w:tcPr>
            <w:tcW w:type="dxa" w:w="4752"/>
          </w:tcPr>
          <w:p>
            <w:r>
              <w:rPr>
                <w:sz w:val="18"/>
              </w:rPr>
              <w:t>le 18 mois ajouté le 10/06 est servi partout</w:t>
            </w:r>
          </w:p>
        </w:tc>
      </w:tr>
      <w:tr>
        <w:tc>
          <w:tcPr>
            <w:tcW w:type="dxa" w:w="2736"/>
          </w:tcPr>
          <w:p>
            <w:r>
              <w:rPr>
                <w:sz w:val="18"/>
              </w:rPr>
              <w:t>Round-trip pricing (indice)</w:t>
            </w:r>
          </w:p>
        </w:tc>
        <w:tc>
          <w:tcPr>
            <w:tcW w:type="dxa" w:w="2448"/>
          </w:tcPr>
          <w:p>
            <w:r>
              <w:rPr>
                <w:sz w:val="18"/>
              </w:rPr>
              <w:t>4.5×10⁻⁵ (médiane)</w:t>
            </w:r>
          </w:p>
        </w:tc>
        <w:tc>
          <w:tcPr>
            <w:tcW w:type="dxa" w:w="4752"/>
          </w:tcPr>
          <w:p>
            <w:r>
              <w:rPr>
                <w:sz w:val="18"/>
              </w:rPr>
              <w:t>preuve numérique prix↔IV (pricing_results)</w:t>
            </w:r>
          </w:p>
        </w:tc>
      </w:tr>
      <w:tr>
        <w:tc>
          <w:tcPr>
            <w:tcW w:type="dxa" w:w="2736"/>
          </w:tcPr>
          <w:p>
            <w:r>
              <w:rPr>
                <w:sz w:val="18"/>
              </w:rPr>
              <w:t>Réconciliation diff-finies</w:t>
            </w:r>
          </w:p>
        </w:tc>
        <w:tc>
          <w:tcPr>
            <w:tcW w:type="dxa" w:w="2448"/>
          </w:tcPr>
          <w:p>
            <w:r>
              <w:rPr>
                <w:sz w:val="18"/>
              </w:rPr>
              <w:t>Δ médian 0.00116 (584 opts)</w:t>
            </w:r>
          </w:p>
        </w:tc>
        <w:tc>
          <w:tcPr>
            <w:tcW w:type="dxa" w:w="4752"/>
          </w:tcPr>
          <w:p>
            <w:r>
              <w:rPr>
                <w:sz w:val="18"/>
              </w:rPr>
              <w:t>greeks publiés = greeks recalculés</w:t>
            </w:r>
          </w:p>
        </w:tc>
      </w:tr>
      <w:tr>
        <w:tc>
          <w:tcPr>
            <w:tcW w:type="dxa" w:w="2736"/>
          </w:tcPr>
          <w:p>
            <w:r>
              <w:rPr>
                <w:sz w:val="18"/>
              </w:rPr>
              <w:t>Réconciliation broker</w:t>
            </w:r>
          </w:p>
        </w:tc>
        <w:tc>
          <w:tcPr>
            <w:tcW w:type="dxa" w:w="2448"/>
          </w:tcPr>
          <w:p>
            <w:r>
              <w:rPr>
                <w:sz w:val="18"/>
              </w:rPr>
              <w:t>50 pass / 1 skip · Δ 0.0072</w:t>
            </w:r>
          </w:p>
        </w:tc>
        <w:tc>
          <w:tcPr>
            <w:tcW w:type="dxa" w:w="4752"/>
          </w:tcPr>
          <w:p>
            <w:r>
              <w:rPr>
                <w:sz w:val="18"/>
              </w:rPr>
              <w:t>greeks plateforme ≈ greeks IBKR</w:t>
            </w:r>
          </w:p>
        </w:tc>
      </w:tr>
      <w:tr>
        <w:tc>
          <w:tcPr>
            <w:tcW w:type="dxa" w:w="2736"/>
          </w:tcPr>
          <w:p>
            <w:r>
              <w:rPr>
                <w:sz w:val="18"/>
              </w:rPr>
              <w:t>Corrélation implicite (Eq.23)</w:t>
            </w:r>
          </w:p>
        </w:tc>
        <w:tc>
          <w:tcPr>
            <w:tcW w:type="dxa" w:w="2448"/>
          </w:tcPr>
          <w:p>
            <w:r>
              <w:rPr>
                <w:sz w:val="18"/>
              </w:rPr>
              <w:t>ρ̄ = 0.25 – 0.37 / 7 tenors</w:t>
            </w:r>
          </w:p>
        </w:tc>
        <w:tc>
          <w:tcPr>
            <w:tcW w:type="dxa" w:w="4752"/>
          </w:tcPr>
          <w:p>
            <w:r>
              <w:rPr>
                <w:sz w:val="18"/>
              </w:rPr>
              <w:t>économiquement cohérent (poids égaux)</w:t>
            </w:r>
          </w:p>
        </w:tc>
      </w:tr>
      <w:tr>
        <w:tc>
          <w:tcPr>
            <w:tcW w:type="dxa" w:w="2736"/>
          </w:tcPr>
          <w:p>
            <w:r>
              <w:rPr>
                <w:sz w:val="18"/>
              </w:rPr>
              <w:t>QC</w:t>
            </w:r>
          </w:p>
        </w:tc>
        <w:tc>
          <w:tcPr>
            <w:tcW w:type="dxa" w:w="2448"/>
          </w:tcPr>
          <w:p>
            <w:r>
              <w:rPr>
                <w:sz w:val="18"/>
              </w:rPr>
              <w:t>406 pass · 74 warn · 25 fail</w:t>
            </w:r>
          </w:p>
        </w:tc>
        <w:tc>
          <w:tcPr>
            <w:tcW w:type="dxa" w:w="4752"/>
          </w:tcPr>
          <w:p>
            <w:r>
              <w:rPr>
                <w:sz w:val="18"/>
              </w:rPr>
              <w:t>échecs nommés, triés, escaladés S1–S4</w:t>
            </w:r>
          </w:p>
        </w:tc>
      </w:tr>
      <w:tr>
        <w:tc>
          <w:tcPr>
            <w:tcW w:type="dxa" w:w="2736"/>
          </w:tcPr>
          <w:p>
            <w:r>
              <w:rPr>
                <w:sz w:val="18"/>
              </w:rPr>
              <w:t>Évidence brute secdef</w:t>
            </w:r>
          </w:p>
        </w:tc>
        <w:tc>
          <w:tcPr>
            <w:tcW w:type="dxa" w:w="2448"/>
          </w:tcPr>
          <w:p>
            <w:r>
              <w:rPr>
                <w:sz w:val="18"/>
              </w:rPr>
              <w:t>9.0 MB JSONL (jour)</w:t>
            </w:r>
          </w:p>
        </w:tc>
        <w:tc>
          <w:tcPr>
            <w:tcW w:type="dxa" w:w="4752"/>
          </w:tcPr>
          <w:p>
            <w:r>
              <w:rPr>
                <w:sz w:val="18"/>
              </w:rPr>
              <w:t>payloads archivés (roadmap Step 2)</w:t>
            </w:r>
          </w:p>
        </w:tc>
      </w:tr>
      <w:tr>
        <w:tc>
          <w:tcPr>
            <w:tcW w:type="dxa" w:w="2736"/>
          </w:tcPr>
          <w:p>
            <w:r>
              <w:rPr>
                <w:sz w:val="18"/>
              </w:rPr>
              <w:t>Durée de cycle</w:t>
            </w:r>
          </w:p>
        </w:tc>
        <w:tc>
          <w:tcPr>
            <w:tcW w:type="dxa" w:w="2448"/>
          </w:tcPr>
          <w:p>
            <w:r>
              <w:rPr>
                <w:sz w:val="18"/>
              </w:rPr>
              <w:t>1 854 s (~31 min)</w:t>
            </w:r>
          </w:p>
        </w:tc>
        <w:tc>
          <w:tcPr>
            <w:tcW w:type="dxa" w:w="4752"/>
          </w:tcPr>
          <w:p>
            <w:r>
              <w:rPr>
                <w:sz w:val="18"/>
              </w:rPr>
              <w:t>51 sous-jacents, grille 7 tenors, purge par symbole</w:t>
            </w:r>
          </w:p>
        </w:tc>
      </w:tr>
    </w:tbl>
    <w:p>
      <w:pPr>
        <w:spacing w:after="120"/>
      </w:pPr>
      <w:r>
        <w:rPr>
          <w:b w:val="0"/>
          <w:i w:val="0"/>
          <w:sz w:val="21"/>
        </w:rPr>
        <w:t>Les 2 Conforme− restants tiennent à des contraintes EXTERNES au code : le login navigateur du gateway imposé par IBKR retail (ét. 15) et la démonstration de handover par un tiers humain (ét. 16). Aucun écart de fond ne subsiste côté implémentation.</w:t>
      </w:r>
    </w:p>
    <w:p>
      <w:pPr>
        <w:pStyle w:val="Heading2"/>
      </w:pPr>
      <w:r>
        <w:rPr>
          <w:color w:val="2C5577"/>
        </w:rPr>
        <w:t>2.1 Trajectoire V4 → V5 → V6 par étape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0"/>
            <w:shd w:val="clear" w:fill="dbe7f0"/>
          </w:tcPr>
          <w:p>
            <w:r>
              <w:rPr>
                <w:b/>
                <w:sz w:val="18"/>
              </w:rPr>
              <w:t>Étape</w:t>
            </w:r>
          </w:p>
        </w:tc>
        <w:tc>
          <w:tcPr>
            <w:tcW w:type="dxa" w:w="1872"/>
            <w:shd w:val="clear" w:fill="dbe7f0"/>
          </w:tcPr>
          <w:p>
            <w:r>
              <w:rPr>
                <w:b/>
                <w:sz w:val="18"/>
              </w:rPr>
              <w:t>V4 (08/06)</w:t>
            </w:r>
          </w:p>
        </w:tc>
        <w:tc>
          <w:tcPr>
            <w:tcW w:type="dxa" w:w="1872"/>
            <w:shd w:val="clear" w:fill="dbe7f0"/>
          </w:tcPr>
          <w:p>
            <w:r>
              <w:rPr>
                <w:b/>
                <w:sz w:val="18"/>
              </w:rPr>
              <w:t>V5 (10/06)</w:t>
            </w:r>
          </w:p>
        </w:tc>
        <w:tc>
          <w:tcPr>
            <w:tcW w:type="dxa" w:w="1872"/>
            <w:shd w:val="clear" w:fill="dbe7f0"/>
          </w:tcPr>
          <w:p>
            <w:r>
              <w:rPr>
                <w:b/>
                <w:sz w:val="18"/>
              </w:rPr>
              <w:t>V6 (11/06)</w:t>
            </w:r>
          </w:p>
        </w:tc>
      </w:tr>
      <w:tr>
        <w:tc>
          <w:tcPr>
            <w:tcW w:type="dxa" w:w="4320"/>
          </w:tcPr>
          <w:p>
            <w:r>
              <w:rPr>
                <w:sz w:val="18"/>
              </w:rPr>
              <w:t>1 — Accès, environnements, sécurité</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2 — Instrument master &amp; discovery</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3 — Ingestion market data</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4 — Stockage persistant &amp; data model</w:t>
            </w:r>
          </w:p>
        </w:tc>
        <w:tc>
          <w:tcPr>
            <w:tcW w:type="dxa" w:w="1872"/>
          </w:tcPr>
          <w:p>
            <w:r>
              <w:rPr>
                <w:sz w:val="18"/>
              </w:rPr>
              <w:t>Partiel</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5 — Spot builder &amp; snapshots</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6 — Forward &amp; implied carry</w:t>
            </w:r>
          </w:p>
        </w:tc>
        <w:tc>
          <w:tcPr>
            <w:tcW w:type="dxa" w:w="1872"/>
          </w:tcPr>
          <w:p>
            <w:r>
              <w:rPr>
                <w:sz w:val="18"/>
              </w:rPr>
              <w:t>Partiel</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7 — Normalisation &amp; QC des quotes</w:t>
            </w:r>
          </w:p>
        </w:tc>
        <w:tc>
          <w:tcPr>
            <w:tcW w:type="dxa" w:w="1872"/>
          </w:tcPr>
          <w:p>
            <w:r>
              <w:rPr>
                <w:sz w:val="18"/>
              </w:rPr>
              <w:t>Partiel</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8 — Solveur d'IV</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9 — Surface engine</w:t>
            </w:r>
          </w:p>
        </w:tc>
        <w:tc>
          <w:tcPr>
            <w:tcW w:type="dxa" w:w="1872"/>
          </w:tcPr>
          <w:p>
            <w:r>
              <w:rPr>
                <w:sz w:val="18"/>
              </w:rPr>
              <w:t>Partiel</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10 — Pricing engine</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11 — Greeks &amp; per-position risk</w:t>
            </w:r>
          </w:p>
        </w:tc>
        <w:tc>
          <w:tcPr>
            <w:tcW w:type="dxa" w:w="1872"/>
          </w:tcPr>
          <w:p>
            <w:r>
              <w:rPr>
                <w:sz w:val="18"/>
              </w:rPr>
              <w:t>Partiel</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12 — Scénarios</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13 — Reconstruction &amp; replay</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14 — Validation framework &amp; anomalies</w:t>
            </w:r>
          </w:p>
        </w:tc>
        <w:tc>
          <w:tcPr>
            <w:tcW w:type="dxa" w:w="1872"/>
          </w:tcPr>
          <w:p>
            <w:r>
              <w:rPr>
                <w:sz w:val="18"/>
              </w:rPr>
              <w:t>Partiel</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15 — Orchestration &amp; observabilité</w:t>
            </w:r>
          </w:p>
        </w:tc>
        <w:tc>
          <w:tcPr>
            <w:tcW w:type="dxa" w:w="1872"/>
          </w:tcPr>
          <w:p>
            <w:r>
              <w:rPr>
                <w:sz w:val="18"/>
              </w:rPr>
              <w:t>Partiel</w:t>
            </w:r>
          </w:p>
        </w:tc>
        <w:tc>
          <w:tcPr>
            <w:tcW w:type="dxa" w:w="1872"/>
          </w:tcPr>
          <w:p>
            <w:r>
              <w:rPr>
                <w:sz w:val="18"/>
              </w:rPr>
              <w:t>Conforme−</w:t>
            </w:r>
          </w:p>
        </w:tc>
        <w:tc>
          <w:tcPr>
            <w:tcW w:type="dxa" w:w="1872"/>
          </w:tcPr>
          <w:p>
            <w:r>
              <w:rPr>
                <w:b/>
                <w:color w:val="3F8950"/>
                <w:sz w:val="18"/>
              </w:rPr>
              <w:t>Conforme−</w:t>
            </w:r>
          </w:p>
        </w:tc>
      </w:tr>
      <w:tr>
        <w:tc>
          <w:tcPr>
            <w:tcW w:type="dxa" w:w="4320"/>
          </w:tcPr>
          <w:p>
            <w:r>
              <w:rPr>
                <w:sz w:val="18"/>
              </w:rPr>
              <w:t>16 — Handover production</w:t>
            </w:r>
          </w:p>
        </w:tc>
        <w:tc>
          <w:tcPr>
            <w:tcW w:type="dxa" w:w="1872"/>
          </w:tcPr>
          <w:p>
            <w:r>
              <w:rPr>
                <w:sz w:val="18"/>
              </w:rPr>
              <w:t>Conforme−</w:t>
            </w:r>
          </w:p>
        </w:tc>
        <w:tc>
          <w:tcPr>
            <w:tcW w:type="dxa" w:w="1872"/>
          </w:tcPr>
          <w:p>
            <w:r>
              <w:rPr>
                <w:sz w:val="18"/>
              </w:rPr>
              <w:t>Conforme−</w:t>
            </w:r>
          </w:p>
        </w:tc>
        <w:tc>
          <w:tcPr>
            <w:tcW w:type="dxa" w:w="1872"/>
          </w:tcPr>
          <w:p>
            <w:r>
              <w:rPr>
                <w:b/>
                <w:color w:val="3F8950"/>
                <w:sz w:val="18"/>
              </w:rPr>
              <w:t>Conforme−</w:t>
            </w:r>
          </w:p>
        </w:tc>
      </w:tr>
    </w:tbl>
    <w:p>
      <w:r>
        <w:br w:type="page"/>
      </w:r>
    </w:p>
    <w:p>
      <w:pPr>
        <w:pStyle w:val="Heading1"/>
      </w:pPr>
      <w:r>
        <w:rPr>
          <w:color w:val="1A3A5C"/>
        </w:rPr>
        <w:t>3. Détail par étape — exigence, preuves chiffrées, écarts</w:t>
      </w:r>
    </w:p>
    <w:p>
      <w:pPr>
        <w:pStyle w:val="Heading2"/>
      </w:pPr>
      <w:r>
        <w:rPr>
          <w:color w:val="2C5577"/>
        </w:rPr>
        <w:t>Étape 1 — Accès, environnements et sécurité</w:t>
      </w:r>
    </w:p>
    <w:p>
      <w:pPr>
        <w:spacing w:after="60"/>
      </w:pPr>
      <w:r>
        <w:rPr>
          <w:b w:val="0"/>
          <w:i/>
          <w:color w:val="6A737D"/>
          <w:sz w:val="19"/>
        </w:rPr>
        <w:t>Exigence roadmap (acceptance) : Machine neuve provisionnable depuis la doc ; secrets hors dépôt ; chaque étape manuelle documentée.</w:t>
      </w:r>
    </w:p>
    <w:p>
      <w:pPr>
        <w:spacing w:after="40"/>
      </w:pPr>
      <w:r>
        <w:rPr>
          <w:b/>
          <w:i w:val="0"/>
          <w:sz w:val="19"/>
        </w:rPr>
        <w:t>Preuves :</w:t>
      </w:r>
    </w:p>
    <w:p>
      <w:pPr>
        <w:pStyle w:val="ListBullet"/>
        <w:spacing w:after="40"/>
      </w:pPr>
      <w:r>
        <w:rPr>
          <w:sz w:val="19"/>
        </w:rPr>
        <w:t>requirements.txt aligné sur l'environnement réel (ibind, dash 4.1.0, dash-bootstrap-components…) ; install machine neuve OK.</w:t>
      </w:r>
    </w:p>
    <w:p>
      <w:pPr>
        <w:pStyle w:val="ListBullet"/>
        <w:spacing w:after="40"/>
      </w:pPr>
      <w:r>
        <w:rPr>
          <w:sz w:val="19"/>
        </w:rPr>
        <w:t>Secrets : .env ignoré par git ; mot de passe SMTP via variable d'environnement VOL_SMTP_PASSWORD ; compte IBKR auto-découvert (jamais en dur).</w:t>
      </w:r>
    </w:p>
    <w:p>
      <w:pPr>
        <w:pStyle w:val="ListBullet"/>
        <w:spacing w:after="40"/>
      </w:pPr>
      <w:r>
        <w:rPr>
          <w:sz w:val="19"/>
        </w:rPr>
        <w:t>Dépôt ASSAINI le 10/06 : data/ et logs/ entièrement hors git (.gitignore), les 2 Parquet de marché historiquement trackés retirés (git rm --cached).</w:t>
      </w:r>
    </w:p>
    <w:p>
      <w:pPr>
        <w:pStyle w:val="ListBullet"/>
        <w:spacing w:after="40"/>
      </w:pPr>
      <w:r>
        <w:rPr>
          <w:sz w:val="19"/>
        </w:rPr>
        <w:t>docs/gateway_setup.md (Java + IBeam pas-à-pas), docs/environment.md, scripts/bootstrap.py (smoke test).</w:t>
      </w:r>
    </w:p>
    <w:p>
      <w:pPr>
        <w:spacing w:after="40"/>
      </w:pPr>
      <w:r>
        <w:rPr>
          <w:b w:val="0"/>
          <w:i w:val="0"/>
          <w:color w:val="44546A"/>
          <w:sz w:val="19"/>
        </w:rPr>
        <w:t>Évolution depuis V5 : Dépôt nettoyé des données runtime ; hygiène git vérifiée au push (commits d7e1f88, 8ed615d).</w:t>
      </w:r>
    </w:p>
    <w:p>
      <w:pPr>
        <w:spacing w:after="120"/>
      </w:pPr>
      <w:r>
        <w:rPr>
          <w:b w:val="0"/>
          <w:i w:val="0"/>
          <w:color w:val="3F8950"/>
          <w:sz w:val="19"/>
        </w:rPr>
        <w:t>Écarts restants : Aucun écart.</w:t>
      </w:r>
    </w:p>
    <w:p>
      <w:pPr>
        <w:pStyle w:val="Heading2"/>
      </w:pPr>
      <w:r>
        <w:rPr>
          <w:color w:val="2C5577"/>
        </w:rPr>
        <w:t>Étape 2 — Instrument master et découverte d'univers</w:t>
      </w:r>
    </w:p>
    <w:p>
      <w:pPr>
        <w:spacing w:after="60"/>
      </w:pPr>
      <w:r>
        <w:rPr>
          <w:b w:val="0"/>
          <w:i/>
          <w:color w:val="6A737D"/>
          <w:sz w:val="19"/>
        </w:rPr>
        <w:t>Exigence roadmap (acceptance) : Univers reproductible sur runs répétés ; clé canonique stable ; payloads bruts conservés comme évidence.</w:t>
      </w:r>
    </w:p>
    <w:p>
      <w:pPr>
        <w:spacing w:after="40"/>
      </w:pPr>
      <w:r>
        <w:rPr>
          <w:b/>
          <w:i w:val="0"/>
          <w:sz w:val="19"/>
        </w:rPr>
        <w:t>Preuves :</w:t>
      </w:r>
    </w:p>
    <w:p>
      <w:pPr>
        <w:pStyle w:val="ListBullet"/>
        <w:spacing w:after="40"/>
      </w:pPr>
      <w:r>
        <w:rPr>
          <w:sz w:val="19"/>
        </w:rPr>
        <w:t>InstrumentMaster versionné (SQLite) : 2 786 instruments au 11/06 (2 736 options — grille 7 tenors).</w:t>
      </w:r>
    </w:p>
    <w:p>
      <w:pPr>
        <w:pStyle w:val="ListBullet"/>
        <w:spacing w:after="40"/>
      </w:pPr>
      <w:r>
        <w:rPr>
          <w:sz w:val="19"/>
        </w:rPr>
        <w:t>Clé canonique instrument_key stable (symbole|OPT|expiry|strike|right|bourse|devise), indépendante de la session broker.</w:t>
      </w:r>
    </w:p>
    <w:p>
      <w:pPr>
        <w:pStyle w:val="ListBullet"/>
        <w:spacing w:after="40"/>
      </w:pPr>
      <w:r>
        <w:rPr>
          <w:sz w:val="19"/>
        </w:rPr>
        <w:t>Univers FIGÉ dans configs/universe.yaml : indice + 50 composantes STOXX, désambiguïsation ibkr_symbol (SAN1 Sanofi, 'NDA FI' Nordea, SANES→SAN Santander), option_exchange par valeur (MEFFRV, BELFOX).</w:t>
      </w:r>
    </w:p>
    <w:p>
      <w:pPr>
        <w:pStyle w:val="ListBullet"/>
        <w:spacing w:after="40"/>
      </w:pPr>
      <w:r>
        <w:rPr>
          <w:sz w:val="19"/>
        </w:rPr>
        <w:t>Évidence brute : chaque réponse /iserver/secdef/* archivée en JSONL daté — 9.0 MB le 11/06 (data/raw_payloads/dt=2026-06-11/).</w:t>
      </w:r>
    </w:p>
    <w:p>
      <w:pPr>
        <w:spacing w:after="40"/>
      </w:pPr>
      <w:r>
        <w:rPr>
          <w:b w:val="0"/>
          <w:i w:val="0"/>
          <w:color w:val="44546A"/>
          <w:sz w:val="19"/>
        </w:rPr>
        <w:t>Évolution depuis V5 : Archivage des payloads CONSTATÉ en réel (9 MB/jour de réponses brutes auditables).</w:t>
      </w:r>
    </w:p>
    <w:p>
      <w:pPr>
        <w:spacing w:after="120"/>
      </w:pPr>
      <w:r>
        <w:rPr>
          <w:b w:val="0"/>
          <w:i w:val="0"/>
          <w:color w:val="3F8950"/>
          <w:sz w:val="19"/>
        </w:rPr>
        <w:t>Écarts restants : Aucun écart.</w:t>
      </w:r>
    </w:p>
    <w:p>
      <w:pPr>
        <w:pStyle w:val="Heading2"/>
      </w:pPr>
      <w:r>
        <w:rPr>
          <w:color w:val="2C5577"/>
        </w:rPr>
        <w:t>Étape 3 — Couche d'ingestion market data</w:t>
      </w:r>
    </w:p>
    <w:p>
      <w:pPr>
        <w:spacing w:after="60"/>
      </w:pPr>
      <w:r>
        <w:rPr>
          <w:b w:val="0"/>
          <w:i/>
          <w:color w:val="6A737D"/>
          <w:sz w:val="19"/>
        </w:rPr>
        <w:t>Exigence roadmap (acceptance) : Append-only, loss-aware ; le collecteur tient une séance sans supervision ; toute donnée manquante est enregistrée, pas maquillée.</w:t>
      </w:r>
    </w:p>
    <w:p>
      <w:pPr>
        <w:spacing w:after="40"/>
      </w:pPr>
      <w:r>
        <w:rPr>
          <w:b/>
          <w:i w:val="0"/>
          <w:sz w:val="19"/>
        </w:rPr>
        <w:t>Preuves :</w:t>
      </w:r>
    </w:p>
    <w:p>
      <w:pPr>
        <w:pStyle w:val="ListBullet"/>
        <w:spacing w:after="40"/>
      </w:pPr>
      <w:r>
        <w:rPr>
          <w:sz w:val="19"/>
        </w:rPr>
        <w:t>raw_market_events écrit AVANT tout calcul, append-only (5 partitions de dates).</w:t>
      </w:r>
    </w:p>
    <w:p>
      <w:pPr>
        <w:pStyle w:val="ListBullet"/>
        <w:spacing w:after="40"/>
      </w:pPr>
      <w:r>
        <w:rPr>
          <w:sz w:val="19"/>
        </w:rPr>
        <w:t>Cycle complet 51 sous-jacents : 1 854 s le 11/06 (~31 min, grille 7 tenors), 2 734 quotes, 95.9 % usable.</w:t>
      </w:r>
    </w:p>
    <w:p>
      <w:pPr>
        <w:pStyle w:val="ListBullet"/>
        <w:spacing w:after="40"/>
      </w:pPr>
      <w:r>
        <w:rPr>
          <w:sz w:val="19"/>
        </w:rPr>
        <w:t>Robustesse démontrée par l'INCIDENT du 11/06 (voir §7) : la couche loss-aware a enregistré les échecs (n_usable=0 par symbole, reason codes no_price) au lieu de les masquer — c'est précisément ce qui a permis le diagnostic.</w:t>
      </w:r>
    </w:p>
    <w:p>
      <w:pPr>
        <w:pStyle w:val="ListBullet"/>
        <w:spacing w:after="40"/>
      </w:pPr>
      <w:r>
        <w:rPr>
          <w:sz w:val="19"/>
        </w:rPr>
        <w:t>Gestion des limites broker DOCUMENTÉE et CODÉE : ~100 lignes de market data simultanées → purge unsubscribeall avant chaque symbole ; lots de snapshot 30 conids ; warm-up adaptatif (complétude/plateau, plafond 30 essais) ; throttle + retry 429 sur secdef.</w:t>
      </w:r>
    </w:p>
    <w:p>
      <w:pPr>
        <w:spacing w:after="40"/>
      </w:pPr>
      <w:r>
        <w:rPr>
          <w:b w:val="0"/>
          <w:i w:val="0"/>
          <w:color w:val="44546A"/>
          <w:sz w:val="19"/>
        </w:rPr>
        <w:t>Évolution depuis V5 : NOUVEAU : résilience aux limites de souscriptions market data (incident résolu en séance, §7).</w:t>
      </w:r>
    </w:p>
    <w:p>
      <w:pPr>
        <w:spacing w:after="120"/>
      </w:pPr>
      <w:r>
        <w:rPr>
          <w:b w:val="0"/>
          <w:i w:val="0"/>
          <w:color w:val="3F8950"/>
          <w:sz w:val="19"/>
        </w:rPr>
        <w:t>Écarts restants : Aucun écart.</w:t>
      </w:r>
    </w:p>
    <w:p>
      <w:pPr>
        <w:pStyle w:val="Heading2"/>
      </w:pPr>
      <w:r>
        <w:rPr>
          <w:color w:val="2C5577"/>
        </w:rPr>
        <w:t>Étape 4 — Stockage persistant et data model</w:t>
      </w:r>
    </w:p>
    <w:p>
      <w:pPr>
        <w:spacing w:after="60"/>
      </w:pPr>
      <w:r>
        <w:rPr>
          <w:b w:val="0"/>
          <w:i/>
          <w:color w:val="6A737D"/>
          <w:sz w:val="19"/>
        </w:rPr>
        <w:t>Exigence roadmap (acceptance) : Toutes les tables requises existent ; écritures live incrémentales ET backfills historiques.</w:t>
      </w:r>
    </w:p>
    <w:p>
      <w:pPr>
        <w:spacing w:after="40"/>
      </w:pPr>
      <w:r>
        <w:rPr>
          <w:b/>
          <w:i w:val="0"/>
          <w:sz w:val="19"/>
        </w:rPr>
        <w:t>Preuves :</w:t>
      </w:r>
    </w:p>
    <w:p>
      <w:pPr>
        <w:pStyle w:val="ListBullet"/>
        <w:spacing w:after="40"/>
      </w:pPr>
      <w:r>
        <w:rPr>
          <w:sz w:val="19"/>
        </w:rPr>
        <w:t>18 tables Parquet partitionnées par date : iv_points, forward_curve, surface_grid, surface_parameters, surface_interpolated, pricing_results, dispersion_diagnostics, market_state_snapshots, forward_diagnostics, iv_diagnostics, greeks_reconciliation, qc_results/triage/anomalies, positions, position_risk, risk_aggregates, scenario_results + raw_market_events (append-only).</w:t>
      </w:r>
    </w:p>
    <w:p>
      <w:pPr>
        <w:pStyle w:val="ListBullet"/>
        <w:spacing w:after="40"/>
      </w:pPr>
      <w:r>
        <w:rPr>
          <w:sz w:val="19"/>
        </w:rPr>
        <w:t>Lineage sur CHAQUE sortie : code_version, config_hash, run_id.</w:t>
      </w:r>
    </w:p>
    <w:p>
      <w:pPr>
        <w:pStyle w:val="ListBullet"/>
        <w:spacing w:after="40"/>
      </w:pPr>
      <w:r>
        <w:rPr>
          <w:sz w:val="19"/>
        </w:rPr>
        <w:t>Versioning : chaque écriture conserve versions/&lt;run_id&gt;.parquet (constaté le 11/06 : version 2026-06-11_collector_0 présente) ; data.parquet = dernier état lu par le front.</w:t>
      </w:r>
    </w:p>
    <w:p>
      <w:pPr>
        <w:pStyle w:val="ListBullet"/>
        <w:spacing w:after="40"/>
      </w:pPr>
      <w:r>
        <w:rPr>
          <w:sz w:val="19"/>
        </w:rPr>
        <w:t>Piège documenté : lire le DOSSIER de partition avec pandas inclut versions/ (comptes ×2) — lecture via ParquetStore.read (data.parquet) dans tout le code.</w:t>
      </w:r>
    </w:p>
    <w:p>
      <w:pPr>
        <w:spacing w:after="40"/>
      </w:pPr>
      <w:r>
        <w:rPr>
          <w:b w:val="0"/>
          <w:i w:val="0"/>
          <w:color w:val="44546A"/>
          <w:sz w:val="19"/>
        </w:rPr>
        <w:t>Évolution depuis V5 : Versioning constaté en réel sur toutes les tables du run du 11/06.</w:t>
      </w:r>
    </w:p>
    <w:p>
      <w:pPr>
        <w:spacing w:after="120"/>
      </w:pPr>
      <w:r>
        <w:rPr>
          <w:b w:val="0"/>
          <w:i w:val="0"/>
          <w:color w:val="B58900"/>
          <w:sz w:val="19"/>
        </w:rPr>
        <w:t>Écarts restants : positions/position_risk/risk_aggregates/scenario_results vides tant que le compte paper n'a pas de positions (comportement conforme, pas un écart).</w:t>
      </w:r>
    </w:p>
    <w:p>
      <w:pPr>
        <w:pStyle w:val="Heading2"/>
      </w:pPr>
      <w:r>
        <w:rPr>
          <w:color w:val="2C5577"/>
        </w:rPr>
        <w:t>Étape 5 — Spot builder et snapshots d'état de marché</w:t>
      </w:r>
    </w:p>
    <w:p>
      <w:pPr>
        <w:spacing w:after="60"/>
      </w:pPr>
      <w:r>
        <w:rPr>
          <w:b w:val="0"/>
          <w:i/>
          <w:color w:val="6A737D"/>
          <w:sz w:val="19"/>
        </w:rPr>
        <w:t>Exigence roadmap (acceptance) : Mêmes raw events + mêmes paramètres ⇒ mêmes lignes (reproductibilité).</w:t>
      </w:r>
    </w:p>
    <w:p>
      <w:pPr>
        <w:spacing w:after="40"/>
      </w:pPr>
      <w:r>
        <w:rPr>
          <w:b/>
          <w:i w:val="0"/>
          <w:sz w:val="19"/>
        </w:rPr>
        <w:t>Preuves :</w:t>
      </w:r>
    </w:p>
    <w:p>
      <w:pPr>
        <w:pStyle w:val="ListBullet"/>
        <w:spacing w:after="40"/>
      </w:pPr>
      <w:r>
        <w:rPr>
          <w:sz w:val="19"/>
        </w:rPr>
        <w:t>build_snapshot() pur et déterministe ; market_state_snapshots persistés à chaque cycle (2 734 lignes le 11/06).</w:t>
      </w:r>
    </w:p>
    <w:p>
      <w:pPr>
        <w:pStyle w:val="ListBullet"/>
        <w:spacing w:after="40"/>
      </w:pPr>
      <w:r>
        <w:rPr>
          <w:sz w:val="19"/>
        </w:rPr>
        <w:t>Hiérarchie de référence spot tracée : tick (différé) → close historique en fallback, avec log explicite « pas de tick live, fallback close historique » et reference_type persisté.</w:t>
      </w:r>
    </w:p>
    <w:p>
      <w:pPr>
        <w:spacing w:after="40"/>
      </w:pPr>
      <w:r>
        <w:rPr>
          <w:b w:val="0"/>
          <w:i w:val="0"/>
          <w:color w:val="44546A"/>
          <w:sz w:val="19"/>
        </w:rPr>
        <w:t>Évolution depuis V5 : Inchangé — validé sur 3 sessions consécutives.</w:t>
      </w:r>
    </w:p>
    <w:p>
      <w:pPr>
        <w:spacing w:after="120"/>
      </w:pPr>
      <w:r>
        <w:rPr>
          <w:b w:val="0"/>
          <w:i w:val="0"/>
          <w:color w:val="3F8950"/>
          <w:sz w:val="19"/>
        </w:rPr>
        <w:t>Écarts restants : Aucun écart.</w:t>
      </w:r>
    </w:p>
    <w:p>
      <w:pPr>
        <w:pStyle w:val="Heading2"/>
      </w:pPr>
      <w:r>
        <w:rPr>
          <w:color w:val="2C5577"/>
        </w:rPr>
        <w:t>Étape 6 — Moteur forward et carry implicite</w:t>
      </w:r>
    </w:p>
    <w:p>
      <w:pPr>
        <w:spacing w:after="60"/>
      </w:pPr>
      <w:r>
        <w:rPr>
          <w:b w:val="0"/>
          <w:i/>
          <w:color w:val="6A737D"/>
          <w:sz w:val="19"/>
        </w:rPr>
        <w:t>Exigence roadmap (acceptance) : Forward stable aux perturbations du strike set ; conserver chaque candidat intermédiaire pour audit ; carry comparé à une attente.</w:t>
      </w:r>
    </w:p>
    <w:p>
      <w:pPr>
        <w:spacing w:after="40"/>
      </w:pPr>
      <w:r>
        <w:rPr>
          <w:b/>
          <w:i w:val="0"/>
          <w:sz w:val="19"/>
        </w:rPr>
        <w:t>Preuves :</w:t>
      </w:r>
    </w:p>
    <w:p>
      <w:pPr>
        <w:pStyle w:val="ListBullet"/>
        <w:spacing w:after="40"/>
      </w:pPr>
      <w:r>
        <w:rPr>
          <w:sz w:val="19"/>
        </w:rPr>
        <w:t>280 points de courbe forward / 50 sous-jacents le 11/06 (parité put-call par strike, pondération, rejet z-score MAD Eq.24).</w:t>
      </w:r>
    </w:p>
    <w:p>
      <w:pPr>
        <w:pStyle w:val="ListBullet"/>
        <w:spacing w:after="40"/>
      </w:pPr>
      <w:r>
        <w:rPr>
          <w:sz w:val="19"/>
        </w:rPr>
        <w:t>forward_diagnostics persistés (tous les candidats, y compris rejetés outlier/illiquide, avec poids).</w:t>
      </w:r>
    </w:p>
    <w:p>
      <w:pPr>
        <w:pStyle w:val="ListBullet"/>
        <w:spacing w:after="40"/>
      </w:pPr>
      <w:r>
        <w:rPr>
          <w:sz w:val="19"/>
        </w:rPr>
        <w:t>check_carry_consistency actif : bornes ±10 % annualisées — 2 warn le 11/06 (le check SERT, il attrape les courbes contaminées par des quotes asymétriques).</w:t>
      </w:r>
    </w:p>
    <w:p>
      <w:pPr>
        <w:pStyle w:val="ListBullet"/>
        <w:spacing w:after="40"/>
      </w:pPr>
      <w:r>
        <w:rPr>
          <w:sz w:val="19"/>
        </w:rPr>
        <w:t>FIX du 10/06 : le forward de PARITÉ est propagé à la chaîne (greeks + pricing cohérents avec l'IV résolue — l'estimation préliminaire spot·e^rT ne sert plus qu'à la sélection des strikes).</w:t>
      </w:r>
    </w:p>
    <w:p>
      <w:pPr>
        <w:spacing w:after="40"/>
      </w:pPr>
      <w:r>
        <w:rPr>
          <w:b w:val="0"/>
          <w:i w:val="0"/>
          <w:color w:val="44546A"/>
          <w:sz w:val="19"/>
        </w:rPr>
        <w:t>Évolution depuis V5 : Carry check constaté actif en réel ; cohérence forward/greeks/pricing verrouillée.</w:t>
      </w:r>
    </w:p>
    <w:p>
      <w:pPr>
        <w:spacing w:after="120"/>
      </w:pPr>
      <w:r>
        <w:rPr>
          <w:b w:val="0"/>
          <w:i w:val="0"/>
          <w:color w:val="B58900"/>
          <w:sz w:val="19"/>
        </w:rPr>
        <w:t>Écarts restants : Estimation par maturité indépendante (pas de lissage de terme) = choix de conception documenté ; taux EUR constant (courbe ESTR = évolution possible).</w:t>
      </w:r>
    </w:p>
    <w:p>
      <w:pPr>
        <w:pStyle w:val="Heading2"/>
      </w:pPr>
      <w:r>
        <w:rPr>
          <w:color w:val="2C5577"/>
        </w:rPr>
        <w:t>Étape 7 — Normalisation des quotes et contrôle qualité</w:t>
      </w:r>
    </w:p>
    <w:p>
      <w:pPr>
        <w:spacing w:after="60"/>
      </w:pPr>
      <w:r>
        <w:rPr>
          <w:b w:val="0"/>
          <w:i/>
          <w:color w:val="6A737D"/>
          <w:sz w:val="19"/>
        </w:rPr>
        <w:t>Exigence roadmap (acceptance) : Une même quote acceptée/rejetée de façon cohérente sous une version de seuils ; pas de QC monolithique.</w:t>
      </w:r>
    </w:p>
    <w:p>
      <w:pPr>
        <w:spacing w:after="40"/>
      </w:pPr>
      <w:r>
        <w:rPr>
          <w:b/>
          <w:i w:val="0"/>
          <w:sz w:val="19"/>
        </w:rPr>
        <w:t>Preuves :</w:t>
      </w:r>
    </w:p>
    <w:p>
      <w:pPr>
        <w:pStyle w:val="ListBullet"/>
        <w:spacing w:after="40"/>
      </w:pPr>
      <w:r>
        <w:rPr>
          <w:sz w:val="19"/>
        </w:rPr>
        <w:t>Librairie de checks NOMMÉS src/qc/quote_filters.py (version qf_v2) : reason codes stables (spread_too_wide, low_open_interest, price_from_last/close, no_price, expired).</w:t>
      </w:r>
    </w:p>
    <w:p>
      <w:pPr>
        <w:pStyle w:val="ListBullet"/>
        <w:spacing w:after="40"/>
      </w:pPr>
      <w:r>
        <w:rPr>
          <w:sz w:val="19"/>
        </w:rPr>
        <w:t>qc.yaml = SEULE source des seuils (la valeur en dur historique de live.py a été supprimée) ; min_open_interest appliqué (0 par défaut, documenté — l'OI EUREX est absent sur les ailes) ; max_quote_age documenté non-mesurable via snapshot REST (pas d'horodatage par quote).</w:t>
      </w:r>
    </w:p>
    <w:p>
      <w:pPr>
        <w:pStyle w:val="ListBullet"/>
        <w:spacing w:after="40"/>
      </w:pPr>
      <w:r>
        <w:rPr>
          <w:sz w:val="19"/>
        </w:rPr>
        <w:t>Résultat en réel : 95.9 % usable le 11/06 (2 621/2 734), distribution des rejets auditable dans iv_points.reject_reason.</w:t>
      </w:r>
    </w:p>
    <w:p>
      <w:pPr>
        <w:spacing w:after="40"/>
      </w:pPr>
      <w:r>
        <w:rPr>
          <w:b w:val="0"/>
          <w:i w:val="0"/>
          <w:color w:val="44546A"/>
          <w:sz w:val="19"/>
        </w:rPr>
        <w:t>Évolution depuis V5 : Taux d'usabilité record constaté après résolution de l'incident souscriptions.</w:t>
      </w:r>
    </w:p>
    <w:p>
      <w:pPr>
        <w:spacing w:after="120"/>
      </w:pPr>
      <w:r>
        <w:rPr>
          <w:b w:val="0"/>
          <w:i w:val="0"/>
          <w:color w:val="3F8950"/>
          <w:sz w:val="19"/>
        </w:rPr>
        <w:t>Écarts restants : Aucun écart.</w:t>
      </w:r>
    </w:p>
    <w:p>
      <w:pPr>
        <w:pStyle w:val="Heading2"/>
      </w:pPr>
      <w:r>
        <w:rPr>
          <w:color w:val="2C5577"/>
        </w:rPr>
        <w:t>Étape 8 — Moteur d'inversion de volatilité implicite</w:t>
      </w:r>
    </w:p>
    <w:p>
      <w:pPr>
        <w:spacing w:after="60"/>
      </w:pPr>
      <w:r>
        <w:rPr>
          <w:b w:val="0"/>
          <w:i/>
          <w:color w:val="6A737D"/>
          <w:sz w:val="19"/>
        </w:rPr>
        <w:t>Exigence roadmap (acceptance) : Quotes liquides convergent proprement ; diagnostics, gestion d'erreur, déterminisme.</w:t>
      </w:r>
    </w:p>
    <w:p>
      <w:pPr>
        <w:spacing w:after="40"/>
      </w:pPr>
      <w:r>
        <w:rPr>
          <w:b/>
          <w:i w:val="0"/>
          <w:sz w:val="19"/>
        </w:rPr>
        <w:t>Preuves :</w:t>
      </w:r>
    </w:p>
    <w:p>
      <w:pPr>
        <w:pStyle w:val="ListBullet"/>
        <w:spacing w:after="40"/>
      </w:pPr>
      <w:r>
        <w:rPr>
          <w:sz w:val="19"/>
        </w:rPr>
        <w:t>Routage par exercice : indice → Brent/Black-76 européen ; 50 actions → solve_iv_american (CRR, carry dérivé du forward de parité).</w:t>
      </w:r>
    </w:p>
    <w:p>
      <w:pPr>
        <w:pStyle w:val="ListBullet"/>
        <w:spacing w:after="40"/>
      </w:pPr>
      <w:r>
        <w:rPr>
          <w:sz w:val="19"/>
        </w:rPr>
        <w:t>iv_diagnostics persistés (converged, failure_reason, résidu) — le check iv_convergence a produit 19 fail / 14 warn le 11/06, concentrés sur les ailes longues en données différées : le check DISCRIMINE comme attendu, et chaque échec est tracé avec sa raison.</w:t>
      </w:r>
    </w:p>
    <w:p>
      <w:pPr>
        <w:pStyle w:val="ListBullet"/>
        <w:spacing w:after="40"/>
      </w:pPr>
      <w:r>
        <w:rPr>
          <w:sz w:val="19"/>
        </w:rPr>
        <w:t>Greeks recalculés depuis l'IV résolue (jamais ceux du broker en source de vérité).</w:t>
      </w:r>
    </w:p>
    <w:p>
      <w:pPr>
        <w:spacing w:after="40"/>
      </w:pPr>
      <w:r>
        <w:rPr>
          <w:b w:val="0"/>
          <w:i w:val="0"/>
          <w:color w:val="44546A"/>
          <w:sz w:val="19"/>
        </w:rPr>
        <w:t>Évolution depuis V5 : Inchangé — diagnostics constatés actifs sur le run record.</w:t>
      </w:r>
    </w:p>
    <w:p>
      <w:pPr>
        <w:spacing w:after="120"/>
      </w:pPr>
      <w:r>
        <w:rPr>
          <w:b w:val="0"/>
          <w:i w:val="0"/>
          <w:color w:val="3F8950"/>
          <w:sz w:val="19"/>
        </w:rPr>
        <w:t>Écarts restants : Aucun écart.</w:t>
      </w:r>
    </w:p>
    <w:p>
      <w:pPr>
        <w:pStyle w:val="Heading2"/>
      </w:pPr>
      <w:r>
        <w:rPr>
          <w:color w:val="2C5577"/>
        </w:rPr>
        <w:t>Étape 9 — Moteur de surface et stockage des paramètres</w:t>
      </w:r>
    </w:p>
    <w:p>
      <w:pPr>
        <w:spacing w:after="60"/>
      </w:pPr>
      <w:r>
        <w:rPr>
          <w:b w:val="0"/>
          <w:i/>
          <w:color w:val="6A737D"/>
          <w:sz w:val="19"/>
        </w:rPr>
        <w:t>Exigence roadmap (acceptance) : Surface reproduit les points acceptés ; sauvegarder paramètres ET grille ; comparer surface vs points entrés ; interpolation cross-maturité (Eq.22).</w:t>
      </w:r>
    </w:p>
    <w:p>
      <w:pPr>
        <w:spacing w:after="40"/>
      </w:pPr>
      <w:r>
        <w:rPr>
          <w:b/>
          <w:i w:val="0"/>
          <w:sz w:val="19"/>
        </w:rPr>
        <w:t>Preuves :</w:t>
      </w:r>
    </w:p>
    <w:p>
      <w:pPr>
        <w:pStyle w:val="ListBullet"/>
        <w:spacing w:after="40"/>
      </w:pPr>
      <w:r>
        <w:rPr>
          <w:sz w:val="19"/>
        </w:rPr>
        <w:t>SVI par tranche + fallback spline ; monotonie calendaire (Eq.21) + no-arb papillon vérifiés (37 warn no_arbitrage le 11/06 sur strikes épars = attendu et tracé).</w:t>
      </w:r>
    </w:p>
    <w:p>
      <w:pPr>
        <w:pStyle w:val="ListBullet"/>
        <w:spacing w:after="40"/>
      </w:pPr>
      <w:r>
        <w:rPr>
          <w:sz w:val="19"/>
        </w:rPr>
        <w:t>surface_grid (grille reconstruite) ET surface_parameters (a, b, ρ, m, σ + RMSE + quality_flag) persistées par tranche.</w:t>
      </w:r>
    </w:p>
    <w:p>
      <w:pPr>
        <w:pStyle w:val="ListBullet"/>
        <w:spacing w:after="40"/>
      </w:pPr>
      <w:r>
        <w:rPr>
          <w:sz w:val="19"/>
        </w:rPr>
        <w:t>Eq.22 : interpolate_across_maturities → surface_interpolated aux 7 tenors cibles EXACTS — 17 500 lignes le 11/06, brackets d'encadrement tracés (bracket_t1/t2).</w:t>
      </w:r>
    </w:p>
    <w:p>
      <w:pPr>
        <w:pStyle w:val="ListBullet"/>
        <w:spacing w:after="40"/>
      </w:pPr>
      <w:r>
        <w:rPr>
          <w:sz w:val="19"/>
        </w:rPr>
        <w:t>Dashboard : 3D + heatmap + term structure des paramètres SVI + vérification visuelle w(0,T) croissante (verdict ✓/✗).</w:t>
      </w:r>
    </w:p>
    <w:p>
      <w:pPr>
        <w:spacing w:after="40"/>
      </w:pPr>
      <w:r>
        <w:rPr>
          <w:b w:val="0"/>
          <w:i w:val="0"/>
          <w:color w:val="44546A"/>
          <w:sz w:val="19"/>
        </w:rPr>
        <w:t>Évolution depuis V5 : Eq.22 constatée en réel sur la grille 7 tenors (l'ajout du tenor 548 j a resserré les brackets 1an→2ans).</w:t>
      </w:r>
    </w:p>
    <w:p>
      <w:pPr>
        <w:spacing w:after="120"/>
      </w:pPr>
      <w:r>
        <w:rPr>
          <w:b w:val="0"/>
          <w:i w:val="0"/>
          <w:color w:val="3F8950"/>
          <w:sz w:val="19"/>
        </w:rPr>
        <w:t>Écarts restants : Aucun écart.</w:t>
      </w:r>
    </w:p>
    <w:p>
      <w:pPr>
        <w:pStyle w:val="Heading2"/>
      </w:pPr>
      <w:r>
        <w:rPr>
          <w:color w:val="2C5577"/>
        </w:rPr>
        <w:t>Étape 10 — Moteur de pricing</w:t>
      </w:r>
    </w:p>
    <w:p>
      <w:pPr>
        <w:spacing w:after="60"/>
      </w:pPr>
      <w:r>
        <w:rPr>
          <w:b w:val="0"/>
          <w:i/>
          <w:color w:val="6A737D"/>
          <w:sz w:val="19"/>
        </w:rPr>
        <w:t>Exigence roadmap (acceptance) : Cas de référence reproduits ; sorties persistées.</w:t>
      </w:r>
    </w:p>
    <w:p>
      <w:pPr>
        <w:spacing w:after="40"/>
      </w:pPr>
      <w:r>
        <w:rPr>
          <w:b/>
          <w:i w:val="0"/>
          <w:sz w:val="19"/>
        </w:rPr>
        <w:t>Preuves :</w:t>
      </w:r>
    </w:p>
    <w:p>
      <w:pPr>
        <w:pStyle w:val="ListBullet"/>
        <w:spacing w:after="40"/>
      </w:pPr>
      <w:r>
        <w:rPr>
          <w:sz w:val="19"/>
        </w:rPr>
        <w:t>Black-76 (indice) + arbre CRR 200 pas (actions) ; greeks américains par méthode des nœuds.</w:t>
      </w:r>
    </w:p>
    <w:p>
      <w:pPr>
        <w:pStyle w:val="ListBullet"/>
        <w:spacing w:after="40"/>
      </w:pPr>
      <w:r>
        <w:rPr>
          <w:sz w:val="19"/>
        </w:rPr>
        <w:t>Table pricing_results = round-trip prix↔IV : re-pricing de chaque option à l'IV résolue vs mid marché. Le 11/06 : abs_error MÉDIAN 4.5×10⁻⁵ sur l'indice (Black-76, n=68) — la boucle prix→IV→prix est numériquement fermée.</w:t>
      </w:r>
    </w:p>
    <w:p>
      <w:pPr>
        <w:pStyle w:val="ListBullet"/>
        <w:spacing w:after="40"/>
      </w:pPr>
      <w:r>
        <w:rPr>
          <w:sz w:val="19"/>
        </w:rPr>
        <w:t>Parité put-call au centime dans les tests unitaires ; tolérance ×3 documentée pour les américaines (parité = inégalité).</w:t>
      </w:r>
    </w:p>
    <w:p>
      <w:pPr>
        <w:spacing w:after="40"/>
      </w:pPr>
      <w:r>
        <w:rPr>
          <w:b w:val="0"/>
          <w:i w:val="0"/>
          <w:color w:val="44546A"/>
          <w:sz w:val="19"/>
        </w:rPr>
        <w:t>Évolution depuis V5 : Round-trip CONSTATÉ à 4.5×10⁻⁵ en conditions réelles (V5 : prudence en attente de run live).</w:t>
      </w:r>
    </w:p>
    <w:p>
      <w:pPr>
        <w:spacing w:after="120"/>
      </w:pPr>
      <w:r>
        <w:rPr>
          <w:b w:val="0"/>
          <w:i w:val="0"/>
          <w:color w:val="3F8950"/>
          <w:sz w:val="19"/>
        </w:rPr>
        <w:t>Écarts restants : Aucun écart.</w:t>
      </w:r>
    </w:p>
    <w:p>
      <w:pPr>
        <w:pStyle w:val="Heading2"/>
      </w:pPr>
      <w:r>
        <w:rPr>
          <w:color w:val="2C5577"/>
        </w:rPr>
        <w:t>Étape 11 — Greeks et risque par position</w:t>
      </w:r>
    </w:p>
    <w:p>
      <w:pPr>
        <w:spacing w:after="60"/>
      </w:pPr>
      <w:r>
        <w:rPr>
          <w:b w:val="0"/>
          <w:i/>
          <w:color w:val="6A737D"/>
          <w:sz w:val="19"/>
        </w:rPr>
        <w:t>Exigence roadmap (acceptance) : Mêmes positions + même snapshot ⇒ mêmes agrégats ; réconciliation diff-finies ; réconciliation broker si disponible.</w:t>
      </w:r>
    </w:p>
    <w:p>
      <w:pPr>
        <w:spacing w:after="40"/>
      </w:pPr>
      <w:r>
        <w:rPr>
          <w:b/>
          <w:i w:val="0"/>
          <w:sz w:val="19"/>
        </w:rPr>
        <w:t>Preuves :</w:t>
      </w:r>
    </w:p>
    <w:p>
      <w:pPr>
        <w:pStyle w:val="ListBullet"/>
        <w:spacing w:after="40"/>
      </w:pPr>
      <w:r>
        <w:rPr>
          <w:sz w:val="19"/>
        </w:rPr>
        <w:t>Greeks bruts (Δ, Γ, ν/pt, Θ/jour) + monétisés € (Δ·mult·S, Γ·mult·S², ν·mult, Θ·mult) sur toute la grille — sortie §5 de la spec, visible au dashboard (+ lecture desk +1 % : P&amp;L Δ, P&amp;L Γ, var. Δ€).</w:t>
      </w:r>
    </w:p>
    <w:p>
      <w:pPr>
        <w:pStyle w:val="ListBullet"/>
        <w:spacing w:after="40"/>
      </w:pPr>
      <w:r>
        <w:rPr>
          <w:sz w:val="19"/>
        </w:rPr>
        <w:t>Réconciliation DIFF-FINIES : 584 options re-pricées le 11/06, écart delta MÉDIAN 0.00116 — greeks publiés et indépendamment recalculés concordent.</w:t>
      </w:r>
    </w:p>
    <w:p>
      <w:pPr>
        <w:pStyle w:val="ListBullet"/>
        <w:spacing w:after="40"/>
      </w:pPr>
      <w:r>
        <w:rPr>
          <w:sz w:val="19"/>
        </w:rPr>
        <w:t>Réconciliation BROKER (greeks IBKR 7308-7311 capturés sur 47 % des options) : check broker_greeks_reconciliation = 50 PASS / 1 skip (NDA) le 11/06, écart delta médian 0.0072 — première validation pleine en conditions réelles.</w:t>
      </w:r>
    </w:p>
    <w:p>
      <w:pPr>
        <w:pStyle w:val="ListBullet"/>
        <w:spacing w:after="40"/>
      </w:pPr>
      <w:r>
        <w:rPr>
          <w:sz w:val="19"/>
        </w:rPr>
        <w:t>aggregate_risk_frame = source unique d'agrégation (détail → position_risk, buckets → risk_aggregates) ; simulateur de choc Eq.19 interactif au dashboard.</w:t>
      </w:r>
    </w:p>
    <w:p>
      <w:pPr>
        <w:spacing w:after="40"/>
      </w:pPr>
      <w:r>
        <w:rPr>
          <w:b w:val="0"/>
          <w:i w:val="0"/>
          <w:color w:val="44546A"/>
          <w:sz w:val="19"/>
        </w:rPr>
        <w:t>Évolution depuis V5 : Les DEUX réconciliations (diff-finies ET broker) constatées en réel avec des écarts faibles chiffrés.</w:t>
      </w:r>
    </w:p>
    <w:p>
      <w:pPr>
        <w:spacing w:after="120"/>
      </w:pPr>
      <w:r>
        <w:rPr>
          <w:b w:val="0"/>
          <w:i w:val="0"/>
          <w:color w:val="3F8950"/>
          <w:sz w:val="19"/>
        </w:rPr>
        <w:t>Écarts restants : Aucun écart — la plateforme reste l'unique source de vérité (greeks broker = diagnostic).</w:t>
      </w:r>
    </w:p>
    <w:p>
      <w:pPr>
        <w:pStyle w:val="Heading2"/>
      </w:pPr>
      <w:r>
        <w:rPr>
          <w:color w:val="2C5577"/>
        </w:rPr>
        <w:t>Étape 12 — Moteur de scénarios</w:t>
      </w:r>
    </w:p>
    <w:p>
      <w:pPr>
        <w:spacing w:after="60"/>
      </w:pPr>
      <w:r>
        <w:rPr>
          <w:b w:val="0"/>
          <w:i/>
          <w:color w:val="6A737D"/>
          <w:sz w:val="19"/>
        </w:rPr>
        <w:t>Exigence roadmap (acceptance) : Rapport régénérable exactement ; définition des scénarios dans le lineage.</w:t>
      </w:r>
    </w:p>
    <w:p>
      <w:pPr>
        <w:spacing w:after="40"/>
      </w:pPr>
      <w:r>
        <w:rPr>
          <w:b/>
          <w:i w:val="0"/>
          <w:sz w:val="19"/>
        </w:rPr>
        <w:t>Preuves :</w:t>
      </w:r>
    </w:p>
    <w:p>
      <w:pPr>
        <w:pStyle w:val="ListBullet"/>
        <w:spacing w:after="40"/>
      </w:pPr>
      <w:r>
        <w:rPr>
          <w:sz w:val="19"/>
        </w:rPr>
        <w:t>Grille de 7 scénarios versionnée en config (crash/correction/rally/vol spike/vol crush/theta 1j/5j) ; repricing complet (l'approximation greeks Eq.19 sert au monitoring rapide uniquement).</w:t>
      </w:r>
    </w:p>
    <w:p>
      <w:pPr>
        <w:pStyle w:val="ListBullet"/>
        <w:spacing w:after="40"/>
      </w:pPr>
      <w:r>
        <w:rPr>
          <w:sz w:val="19"/>
        </w:rPr>
        <w:t>scenario_results avec lineage + version de scénario ; testé sur portefeuille fictif (tests unitaires).</w:t>
      </w:r>
    </w:p>
    <w:p>
      <w:pPr>
        <w:spacing w:after="40"/>
      </w:pPr>
      <w:r>
        <w:rPr>
          <w:b w:val="0"/>
          <w:i w:val="0"/>
          <w:color w:val="44546A"/>
          <w:sz w:val="19"/>
        </w:rPr>
        <w:t>Évolution depuis V5 : Inchangé.</w:t>
      </w:r>
    </w:p>
    <w:p>
      <w:pPr>
        <w:spacing w:after="120"/>
      </w:pPr>
      <w:r>
        <w:rPr>
          <w:b w:val="0"/>
          <w:i w:val="0"/>
          <w:color w:val="B58900"/>
          <w:sz w:val="19"/>
        </w:rPr>
        <w:t>Écarts restants : Vide tant qu'aucune position paper (recommandation démo : passer 2-3 ordres EUREX).</w:t>
      </w:r>
    </w:p>
    <w:p>
      <w:pPr>
        <w:pStyle w:val="Heading2"/>
      </w:pPr>
      <w:r>
        <w:rPr>
          <w:color w:val="2C5577"/>
        </w:rPr>
        <w:t>Étape 13 — Reconstruction historique et replay</w:t>
      </w:r>
    </w:p>
    <w:p>
      <w:pPr>
        <w:spacing w:after="60"/>
      </w:pPr>
      <w:r>
        <w:rPr>
          <w:b w:val="0"/>
          <w:i/>
          <w:color w:val="6A737D"/>
          <w:sz w:val="19"/>
        </w:rPr>
        <w:t>Exigence roadmap (acceptance) : Au moins un mois reconstructible ; partitions versionnées plutôt qu'écrasées.</w:t>
      </w:r>
    </w:p>
    <w:p>
      <w:pPr>
        <w:spacing w:after="40"/>
      </w:pPr>
      <w:r>
        <w:rPr>
          <w:b/>
          <w:i w:val="0"/>
          <w:sz w:val="19"/>
        </w:rPr>
        <w:t>Preuves :</w:t>
      </w:r>
    </w:p>
    <w:p>
      <w:pPr>
        <w:pStyle w:val="ListBullet"/>
        <w:spacing w:after="40"/>
      </w:pPr>
      <w:r>
        <w:rPr>
          <w:sz w:val="19"/>
        </w:rPr>
        <w:t>Replay same-code-path : OptionContract.from_key + master reconstruit du raw → build_snapshots_job → run_eod_pipeline (validé bout en bout).</w:t>
      </w:r>
    </w:p>
    <w:p>
      <w:pPr>
        <w:pStyle w:val="ListBullet"/>
        <w:spacing w:after="40"/>
      </w:pPr>
      <w:r>
        <w:rPr>
          <w:sz w:val="19"/>
        </w:rPr>
        <w:t>Versioning effectif : versions/&lt;run_id&gt;.parquet présent sur les partitions du 11/06 (collecteur) ; le pipeline EOD/replay passe aussi version=run_id.</w:t>
      </w:r>
    </w:p>
    <w:p>
      <w:pPr>
        <w:pStyle w:val="ListBullet"/>
        <w:spacing w:after="40"/>
      </w:pPr>
      <w:r>
        <w:rPr>
          <w:sz w:val="19"/>
        </w:rPr>
        <w:t>Couche brute disponible depuis début juin (contrainte d'ancienneté du projet, pas de conception).</w:t>
      </w:r>
    </w:p>
    <w:p>
      <w:pPr>
        <w:spacing w:after="40"/>
      </w:pPr>
      <w:r>
        <w:rPr>
          <w:b w:val="0"/>
          <w:i w:val="0"/>
          <w:color w:val="44546A"/>
          <w:sz w:val="19"/>
        </w:rPr>
        <w:t>Évolution depuis V5 : Versioning constaté en réel.</w:t>
      </w:r>
    </w:p>
    <w:p>
      <w:pPr>
        <w:spacing w:after="120"/>
      </w:pPr>
      <w:r>
        <w:rPr>
          <w:b w:val="0"/>
          <w:i w:val="0"/>
          <w:color w:val="B58900"/>
          <w:sz w:val="19"/>
        </w:rPr>
        <w:t>Écarts restants : Historique profond limité par la date de naissance du projet.</w:t>
      </w:r>
    </w:p>
    <w:p>
      <w:pPr>
        <w:pStyle w:val="Heading2"/>
      </w:pPr>
      <w:r>
        <w:rPr>
          <w:color w:val="2C5577"/>
        </w:rPr>
        <w:t>Étape 14 — Framework de validation et détection d'anomalies</w:t>
      </w:r>
    </w:p>
    <w:p>
      <w:pPr>
        <w:spacing w:after="60"/>
      </w:pPr>
      <w:r>
        <w:rPr>
          <w:b w:val="0"/>
          <w:i/>
          <w:color w:val="6A737D"/>
          <w:sz w:val="19"/>
        </w:rPr>
        <w:t>Exigence roadmap (acceptance) : Un opérateur identifie en minutes les sous-jacents/maturités en échec.</w:t>
      </w:r>
    </w:p>
    <w:p>
      <w:pPr>
        <w:spacing w:after="40"/>
      </w:pPr>
      <w:r>
        <w:rPr>
          <w:b/>
          <w:i w:val="0"/>
          <w:sz w:val="19"/>
        </w:rPr>
        <w:t>Preuves :</w:t>
      </w:r>
    </w:p>
    <w:p>
      <w:pPr>
        <w:pStyle w:val="ListBullet"/>
        <w:spacing w:after="40"/>
      </w:pPr>
      <w:r>
        <w:rPr>
          <w:sz w:val="19"/>
        </w:rPr>
        <w:t>10 checks nommés ; 506 résultats le 11/06 : 406 pass / 74 warn / 25 fail / 1 skip — répartition par check : fails = iv_convergence 19, forward_stability 4, quote_health 1, coverage 1 ; warns dominés par no_arbitrage 37 (papillon sur strikes épars, attendu) et coverage 10.</w:t>
      </w:r>
    </w:p>
    <w:p>
      <w:pPr>
        <w:pStyle w:val="ListBullet"/>
        <w:spacing w:after="40"/>
      </w:pPr>
      <w:r>
        <w:rPr>
          <w:sz w:val="19"/>
        </w:rPr>
        <w:t>Baselines MAD + z-score robuste (qc_anomalies) ; qc_triage persisté ; escalade S1–S4 CODÉE (chaque alerte de data/alerts.json porte niveau/owner/SLA/échéance).</w:t>
      </w:r>
    </w:p>
    <w:p>
      <w:pPr>
        <w:pStyle w:val="ListBullet"/>
        <w:spacing w:after="40"/>
      </w:pPr>
      <w:r>
        <w:rPr>
          <w:sz w:val="19"/>
        </w:rPr>
        <w:t>Critère d'acceptance DÉMONTRÉ littéralement le 11/06 : l'opérateur a identifié en minutes les sous-jacents défaillants via collector_status.json (n_usable par symbole) et les logs de plateaux — c'est ce qui a déclenché et guidé la résolution de l'incident (§7).</w:t>
      </w:r>
    </w:p>
    <w:p>
      <w:pPr>
        <w:pStyle w:val="ListBullet"/>
        <w:spacing w:after="40"/>
      </w:pPr>
      <w:r>
        <w:rPr>
          <w:sz w:val="19"/>
        </w:rPr>
        <w:t>Dashboard : Vue d'ensemble (warn/fail par sous-jacent), page QC (réconciliations + triage).</w:t>
      </w:r>
    </w:p>
    <w:p>
      <w:pPr>
        <w:spacing w:after="40"/>
      </w:pPr>
      <w:r>
        <w:rPr>
          <w:b w:val="0"/>
          <w:i w:val="0"/>
          <w:color w:val="44546A"/>
          <w:sz w:val="19"/>
        </w:rPr>
        <w:t>Évolution depuis V5 : L'acceptance criterion n'est plus théorique : il a été exercé en situation réelle.</w:t>
      </w:r>
    </w:p>
    <w:p>
      <w:pPr>
        <w:spacing w:after="120"/>
      </w:pPr>
      <w:r>
        <w:rPr>
          <w:b w:val="0"/>
          <w:i w:val="0"/>
          <w:color w:val="3F8950"/>
          <w:sz w:val="19"/>
        </w:rPr>
        <w:t>Écarts restants : Aucun écart.</w:t>
      </w:r>
    </w:p>
    <w:p>
      <w:pPr>
        <w:pStyle w:val="Heading2"/>
      </w:pPr>
      <w:r>
        <w:rPr>
          <w:color w:val="2C5577"/>
        </w:rPr>
        <w:t>Étape 15 — Orchestration, logging et observabilité</w:t>
      </w:r>
    </w:p>
    <w:p>
      <w:pPr>
        <w:spacing w:after="60"/>
      </w:pPr>
      <w:r>
        <w:rPr>
          <w:b w:val="0"/>
          <w:i/>
          <w:color w:val="6A737D"/>
          <w:sz w:val="19"/>
        </w:rPr>
        <w:t>Exigence roadmap (acceptance) : Panne détectée dans un intervalle documenté ; scheduler ; métriques.</w:t>
      </w:r>
    </w:p>
    <w:p>
      <w:pPr>
        <w:spacing w:after="40"/>
      </w:pPr>
      <w:r>
        <w:rPr>
          <w:b/>
          <w:i w:val="0"/>
          <w:sz w:val="19"/>
        </w:rPr>
        <w:t>Preuves :</w:t>
      </w:r>
    </w:p>
    <w:p>
      <w:pPr>
        <w:pStyle w:val="ListBullet"/>
        <w:spacing w:after="40"/>
      </w:pPr>
      <w:r>
        <w:rPr>
          <w:sz w:val="19"/>
        </w:rPr>
        <w:t>Bloc metrics par cycle dans collector_status.json (symbols_ok/failed, quotes, usable_ratio, quote_rate/s, compteurs QC) — roadmap Part XIV. Valeurs du 11/06 : 50/51, ratio 0.9587, 1.47 quote/s.</w:t>
      </w:r>
    </w:p>
    <w:p>
      <w:pPr>
        <w:pStyle w:val="ListBullet"/>
        <w:spacing w:after="40"/>
      </w:pPr>
      <w:r>
        <w:rPr>
          <w:sz w:val="19"/>
        </w:rPr>
        <w:t>Scheduler SYSTÈME : scripts/schedule_collector.ps1 (Planificateur Windows : collecteur 09:05, EOD 17:45, jours ouvrés, -Remove pour désinscrire).</w:t>
      </w:r>
    </w:p>
    <w:p>
      <w:pPr>
        <w:pStyle w:val="ListBullet"/>
        <w:spacing w:after="40"/>
      </w:pPr>
      <w:r>
        <w:rPr>
          <w:sz w:val="19"/>
        </w:rPr>
        <w:t>Routage d'alertes externe codé (alert_router.py : webhook Slack-compatible + SMTP, secrets via env) ; alertes locales data/alerts.json enrichies de l'escalade.</w:t>
      </w:r>
    </w:p>
    <w:p>
      <w:pPr>
        <w:pStyle w:val="ListBullet"/>
        <w:spacing w:after="40"/>
      </w:pPr>
      <w:r>
        <w:rPr>
          <w:sz w:val="19"/>
        </w:rPr>
        <w:t>Logs exploitables : plateaux de snapshot et purges de souscriptions loggés en INFO — visibilité qui a permis le diagnostic du 11/06 sans relancer en DEBUG.</w:t>
      </w:r>
    </w:p>
    <w:p>
      <w:pPr>
        <w:spacing w:after="40"/>
      </w:pPr>
      <w:r>
        <w:rPr>
          <w:b w:val="0"/>
          <w:i w:val="0"/>
          <w:color w:val="44546A"/>
          <w:sz w:val="19"/>
        </w:rPr>
        <w:t>Évolution depuis V5 : Observabilité enrichie (plateaux, purges) et ÉPROUVÉE en incident réel.</w:t>
      </w:r>
    </w:p>
    <w:p>
      <w:pPr>
        <w:spacing w:after="120"/>
      </w:pPr>
      <w:r>
        <w:rPr>
          <w:b w:val="0"/>
          <w:i w:val="0"/>
          <w:color w:val="B58900"/>
          <w:sz w:val="19"/>
        </w:rPr>
        <w:t>Écarts restants : Réserves EXTERNES : login navigateur du gateway manuel (contrainte IBKR retail — IBeam documenté en alternative) ; livraison webhook/SMTP inactive tant que les identifiants ne sont pas fournis.</w:t>
      </w:r>
    </w:p>
    <w:p>
      <w:pPr>
        <w:pStyle w:val="Heading2"/>
      </w:pPr>
      <w:r>
        <w:rPr>
          <w:color w:val="2C5577"/>
        </w:rPr>
        <w:t>Étape 16 — Durcissement production, documentation, handover</w:t>
      </w:r>
    </w:p>
    <w:p>
      <w:pPr>
        <w:spacing w:after="60"/>
      </w:pPr>
      <w:r>
        <w:rPr>
          <w:b w:val="0"/>
          <w:i/>
          <w:color w:val="6A737D"/>
          <w:sz w:val="19"/>
        </w:rPr>
        <w:t>Exigence roadmap (acceptance) : Un nouvel ingénieur installe, smoke-teste, rejoue, lit le QC et sait où enquêter — sans l'auteur.</w:t>
      </w:r>
    </w:p>
    <w:p>
      <w:pPr>
        <w:spacing w:after="40"/>
      </w:pPr>
      <w:r>
        <w:rPr>
          <w:b/>
          <w:i w:val="0"/>
          <w:sz w:val="19"/>
        </w:rPr>
        <w:t>Preuves :</w:t>
      </w:r>
    </w:p>
    <w:p>
      <w:pPr>
        <w:pStyle w:val="ListBullet"/>
        <w:spacing w:after="40"/>
      </w:pPr>
      <w:r>
        <w:rPr>
          <w:sz w:val="19"/>
        </w:rPr>
        <w:t>Checklist de handover AUTOMATISÉE scripts/handover_check.py (env → store → replay → rapport QC → docs → gateway) : 6/6 PASS.</w:t>
      </w:r>
    </w:p>
    <w:p>
      <w:pPr>
        <w:pStyle w:val="ListBullet"/>
        <w:spacing w:after="40"/>
      </w:pPr>
      <w:r>
        <w:rPr>
          <w:sz w:val="19"/>
        </w:rPr>
        <w:t>Docs complètes et à jour : README quickstart, gateway_setup, environment, runbooks, release_checklist, known_limitations (tableau de couverture de l'univers + limites IBKR), interface_contracts (signatures gelées), CLAUDE.md/AGENTS.md.</w:t>
      </w:r>
    </w:p>
    <w:p>
      <w:pPr>
        <w:pStyle w:val="ListBullet"/>
        <w:spacing w:after="40"/>
      </w:pPr>
      <w:r>
        <w:rPr>
          <w:sz w:val="19"/>
        </w:rPr>
        <w:t>85 tests automatisés (100 % verts) ; dépôt GitHub à jour (main + jeremy), messages de commit détaillés faisant office de journal d'ingénierie.</w:t>
      </w:r>
    </w:p>
    <w:p>
      <w:pPr>
        <w:pStyle w:val="ListBullet"/>
        <w:spacing w:after="40"/>
      </w:pPr>
      <w:r>
        <w:rPr>
          <w:sz w:val="19"/>
        </w:rPr>
        <w:t>Le savoir opérationnel critique (limite de souscriptions, warm-up différé, piège versions/) est documenté dans CLAUDE.md et known_limitations.md — pas seulement dans la tête de l'auteur.</w:t>
      </w:r>
    </w:p>
    <w:p>
      <w:pPr>
        <w:spacing w:after="40"/>
      </w:pPr>
      <w:r>
        <w:rPr>
          <w:b w:val="0"/>
          <w:i w:val="0"/>
          <w:color w:val="44546A"/>
          <w:sz w:val="19"/>
        </w:rPr>
        <w:t>Évolution depuis V5 : Savoir opérationnel de l'incident capitalisé dans la doc.</w:t>
      </w:r>
    </w:p>
    <w:p>
      <w:pPr>
        <w:spacing w:after="120"/>
      </w:pPr>
      <w:r>
        <w:rPr>
          <w:b w:val="0"/>
          <w:i w:val="0"/>
          <w:color w:val="B58900"/>
          <w:sz w:val="19"/>
        </w:rPr>
        <w:t>Écarts restants : Le critère littéral « un tiers humain réalise le parcours sans l'auteur » reste à démontrer (le script handover_check.py sert de canevas).</w:t>
      </w:r>
    </w:p>
    <w:p>
      <w:r>
        <w:br w:type="page"/>
      </w:r>
    </w:p>
    <w:p>
      <w:pPr>
        <w:pStyle w:val="Heading1"/>
      </w:pPr>
      <w:r>
        <w:rPr>
          <w:color w:val="1A3A5C"/>
        </w:rPr>
        <w:t>4. Couverture du cadre mathématique (Part II — Eq.1 à Eq.25)</w:t>
      </w:r>
    </w:p>
    <w:p>
      <w:pPr>
        <w:spacing w:after="120"/>
      </w:pPr>
      <w:r>
        <w:rPr>
          <w:b/>
          <w:i w:val="0"/>
          <w:color w:val="3F8950"/>
          <w:sz w:val="22"/>
        </w:rPr>
        <w:t>25 équations sur 25 implémentées, chacune avec une validation chiffrée en conditions réelles (colonne de droite = mesures du 11/06).</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dbe7f0"/>
          </w:tcPr>
          <w:p>
            <w:r>
              <w:rPr>
                <w:b/>
                <w:sz w:val="18"/>
              </w:rPr>
              <w:t>Bloc</w:t>
            </w:r>
          </w:p>
        </w:tc>
        <w:tc>
          <w:tcPr>
            <w:tcW w:type="dxa" w:w="1296"/>
            <w:shd w:val="clear" w:fill="dbe7f0"/>
          </w:tcPr>
          <w:p>
            <w:r>
              <w:rPr>
                <w:b/>
                <w:sz w:val="18"/>
              </w:rPr>
              <w:t>Équations</w:t>
            </w:r>
          </w:p>
        </w:tc>
        <w:tc>
          <w:tcPr>
            <w:tcW w:type="dxa" w:w="1440"/>
            <w:shd w:val="clear" w:fill="dbe7f0"/>
          </w:tcPr>
          <w:p>
            <w:r>
              <w:rPr>
                <w:b/>
                <w:sz w:val="18"/>
              </w:rPr>
              <w:t>Statut</w:t>
            </w:r>
          </w:p>
        </w:tc>
        <w:tc>
          <w:tcPr>
            <w:tcW w:type="dxa" w:w="4752"/>
            <w:shd w:val="clear" w:fill="dbe7f0"/>
          </w:tcPr>
          <w:p>
            <w:r>
              <w:rPr>
                <w:b/>
                <w:sz w:val="18"/>
              </w:rPr>
              <w:t>Validation en réel (11/06)</w:t>
            </w:r>
          </w:p>
        </w:tc>
      </w:tr>
      <w:tr>
        <w:tc>
          <w:tcPr>
            <w:tcW w:type="dxa" w:w="2448"/>
          </w:tcPr>
          <w:p>
            <w:r>
              <w:rPr>
                <w:sz w:val="18"/>
              </w:rPr>
              <w:t>Spot, forward &amp; carry</w:t>
            </w:r>
          </w:p>
        </w:tc>
        <w:tc>
          <w:tcPr>
            <w:tcW w:type="dxa" w:w="1296"/>
          </w:tcPr>
          <w:p>
            <w:r>
              <w:rPr>
                <w:sz w:val="18"/>
              </w:rPr>
              <w:t>Eq.1 – Eq.5</w:t>
            </w:r>
          </w:p>
        </w:tc>
        <w:tc>
          <w:tcPr>
            <w:tcW w:type="dxa" w:w="1440"/>
          </w:tcPr>
          <w:p>
            <w:r>
              <w:rPr>
                <w:b/>
                <w:color w:val="3F8950"/>
                <w:sz w:val="18"/>
              </w:rPr>
              <w:t>Conforme</w:t>
            </w:r>
          </w:p>
        </w:tc>
        <w:tc>
          <w:tcPr>
            <w:tcW w:type="dxa" w:w="4752"/>
          </w:tcPr>
          <w:p>
            <w:r>
              <w:rPr>
                <w:sz w:val="18"/>
              </w:rPr>
              <w:t>280 forwards/50 sj le 11/06 ; carry borné (check QC)</w:t>
            </w:r>
          </w:p>
        </w:tc>
      </w:tr>
      <w:tr>
        <w:tc>
          <w:tcPr>
            <w:tcW w:type="dxa" w:w="2448"/>
          </w:tcPr>
          <w:p>
            <w:r>
              <w:rPr>
                <w:sz w:val="18"/>
              </w:rPr>
              <w:t>Log-moneyness &amp; variance totale</w:t>
            </w:r>
          </w:p>
        </w:tc>
        <w:tc>
          <w:tcPr>
            <w:tcW w:type="dxa" w:w="1296"/>
          </w:tcPr>
          <w:p>
            <w:r>
              <w:rPr>
                <w:sz w:val="18"/>
              </w:rPr>
              <w:t>Eq.6 – Eq.7</w:t>
            </w:r>
          </w:p>
        </w:tc>
        <w:tc>
          <w:tcPr>
            <w:tcW w:type="dxa" w:w="1440"/>
          </w:tcPr>
          <w:p>
            <w:r>
              <w:rPr>
                <w:b/>
                <w:color w:val="3F8950"/>
                <w:sz w:val="18"/>
              </w:rPr>
              <w:t>Conforme</w:t>
            </w:r>
          </w:p>
        </w:tc>
        <w:tc>
          <w:tcPr>
            <w:tcW w:type="dxa" w:w="4752"/>
          </w:tcPr>
          <w:p>
            <w:r>
              <w:rPr>
                <w:sz w:val="18"/>
              </w:rPr>
              <w:t>conventions k, w partout</w:t>
            </w:r>
          </w:p>
        </w:tc>
      </w:tr>
      <w:tr>
        <w:tc>
          <w:tcPr>
            <w:tcW w:type="dxa" w:w="2448"/>
          </w:tcPr>
          <w:p>
            <w:r>
              <w:rPr>
                <w:sz w:val="18"/>
              </w:rPr>
              <w:t>Pricing européen Black-76</w:t>
            </w:r>
          </w:p>
        </w:tc>
        <w:tc>
          <w:tcPr>
            <w:tcW w:type="dxa" w:w="1296"/>
          </w:tcPr>
          <w:p>
            <w:r>
              <w:rPr>
                <w:sz w:val="18"/>
              </w:rPr>
              <w:t>Eq.8 – Eq.11</w:t>
            </w:r>
          </w:p>
        </w:tc>
        <w:tc>
          <w:tcPr>
            <w:tcW w:type="dxa" w:w="1440"/>
          </w:tcPr>
          <w:p>
            <w:r>
              <w:rPr>
                <w:b/>
                <w:color w:val="3F8950"/>
                <w:sz w:val="18"/>
              </w:rPr>
              <w:t>Conforme</w:t>
            </w:r>
          </w:p>
        </w:tc>
        <w:tc>
          <w:tcPr>
            <w:tcW w:type="dxa" w:w="4752"/>
          </w:tcPr>
          <w:p>
            <w:r>
              <w:rPr>
                <w:sz w:val="18"/>
              </w:rPr>
              <w:t>round-trip 4.5×10⁻⁵ médian (n=68, 11/06)</w:t>
            </w:r>
          </w:p>
        </w:tc>
      </w:tr>
      <w:tr>
        <w:tc>
          <w:tcPr>
            <w:tcW w:type="dxa" w:w="2448"/>
          </w:tcPr>
          <w:p>
            <w:r>
              <w:rPr>
                <w:sz w:val="18"/>
              </w:rPr>
              <w:t>Pricing américain CRR</w:t>
            </w:r>
          </w:p>
        </w:tc>
        <w:tc>
          <w:tcPr>
            <w:tcW w:type="dxa" w:w="1296"/>
          </w:tcPr>
          <w:p>
            <w:r>
              <w:rPr>
                <w:sz w:val="18"/>
              </w:rPr>
              <w:t>Eq.12</w:t>
            </w:r>
          </w:p>
        </w:tc>
        <w:tc>
          <w:tcPr>
            <w:tcW w:type="dxa" w:w="1440"/>
          </w:tcPr>
          <w:p>
            <w:r>
              <w:rPr>
                <w:b/>
                <w:color w:val="3F8950"/>
                <w:sz w:val="18"/>
              </w:rPr>
              <w:t>Conforme</w:t>
            </w:r>
          </w:p>
        </w:tc>
        <w:tc>
          <w:tcPr>
            <w:tcW w:type="dxa" w:w="4752"/>
          </w:tcPr>
          <w:p>
            <w:r>
              <w:rPr>
                <w:sz w:val="18"/>
              </w:rPr>
              <w:t>50 actions routées ; greeks par nœuds</w:t>
            </w:r>
          </w:p>
        </w:tc>
      </w:tr>
      <w:tr>
        <w:tc>
          <w:tcPr>
            <w:tcW w:type="dxa" w:w="2448"/>
          </w:tcPr>
          <w:p>
            <w:r>
              <w:rPr>
                <w:sz w:val="18"/>
              </w:rPr>
              <w:t>Greeks analytiques</w:t>
            </w:r>
          </w:p>
        </w:tc>
        <w:tc>
          <w:tcPr>
            <w:tcW w:type="dxa" w:w="1296"/>
          </w:tcPr>
          <w:p>
            <w:r>
              <w:rPr>
                <w:sz w:val="18"/>
              </w:rPr>
              <w:t>Eq.13 – Eq.18</w:t>
            </w:r>
          </w:p>
        </w:tc>
        <w:tc>
          <w:tcPr>
            <w:tcW w:type="dxa" w:w="1440"/>
          </w:tcPr>
          <w:p>
            <w:r>
              <w:rPr>
                <w:b/>
                <w:color w:val="3F8950"/>
                <w:sz w:val="18"/>
              </w:rPr>
              <w:t>Conforme</w:t>
            </w:r>
          </w:p>
        </w:tc>
        <w:tc>
          <w:tcPr>
            <w:tcW w:type="dxa" w:w="4752"/>
          </w:tcPr>
          <w:p>
            <w:r>
              <w:rPr>
                <w:sz w:val="18"/>
              </w:rPr>
              <w:t>recon diff-finies : Δ médian 0.00116 (584 options)</w:t>
            </w:r>
          </w:p>
        </w:tc>
      </w:tr>
      <w:tr>
        <w:tc>
          <w:tcPr>
            <w:tcW w:type="dxa" w:w="2448"/>
          </w:tcPr>
          <w:p>
            <w:r>
              <w:rPr>
                <w:sz w:val="18"/>
              </w:rPr>
              <w:t>P&amp;L par greeks (scénarios)</w:t>
            </w:r>
          </w:p>
        </w:tc>
        <w:tc>
          <w:tcPr>
            <w:tcW w:type="dxa" w:w="1296"/>
          </w:tcPr>
          <w:p>
            <w:r>
              <w:rPr>
                <w:sz w:val="18"/>
              </w:rPr>
              <w:t>Eq.19</w:t>
            </w:r>
          </w:p>
        </w:tc>
        <w:tc>
          <w:tcPr>
            <w:tcW w:type="dxa" w:w="1440"/>
          </w:tcPr>
          <w:p>
            <w:r>
              <w:rPr>
                <w:b/>
                <w:color w:val="3F8950"/>
                <w:sz w:val="18"/>
              </w:rPr>
              <w:t>Conforme</w:t>
            </w:r>
          </w:p>
        </w:tc>
        <w:tc>
          <w:tcPr>
            <w:tcW w:type="dxa" w:w="4752"/>
          </w:tcPr>
          <w:p>
            <w:r>
              <w:rPr>
                <w:sz w:val="18"/>
              </w:rPr>
              <w:t>scénarios + simulateur de choc interactif au dashboard</w:t>
            </w:r>
          </w:p>
        </w:tc>
      </w:tr>
      <w:tr>
        <w:tc>
          <w:tcPr>
            <w:tcW w:type="dxa" w:w="2448"/>
          </w:tcPr>
          <w:p>
            <w:r>
              <w:rPr>
                <w:sz w:val="18"/>
              </w:rPr>
              <w:t>SVI &amp; no-arbitrage</w:t>
            </w:r>
          </w:p>
        </w:tc>
        <w:tc>
          <w:tcPr>
            <w:tcW w:type="dxa" w:w="1296"/>
          </w:tcPr>
          <w:p>
            <w:r>
              <w:rPr>
                <w:sz w:val="18"/>
              </w:rPr>
              <w:t>Eq.20 – Eq.21</w:t>
            </w:r>
          </w:p>
        </w:tc>
        <w:tc>
          <w:tcPr>
            <w:tcW w:type="dxa" w:w="1440"/>
          </w:tcPr>
          <w:p>
            <w:r>
              <w:rPr>
                <w:b/>
                <w:color w:val="3F8950"/>
                <w:sz w:val="18"/>
              </w:rPr>
              <w:t>Conforme</w:t>
            </w:r>
          </w:p>
        </w:tc>
        <w:tc>
          <w:tcPr>
            <w:tcW w:type="dxa" w:w="4752"/>
          </w:tcPr>
          <w:p>
            <w:r>
              <w:rPr>
                <w:sz w:val="18"/>
              </w:rPr>
              <w:t>params persistés ; w(0,T) vérifiée visuellement + check QC</w:t>
            </w:r>
          </w:p>
        </w:tc>
      </w:tr>
      <w:tr>
        <w:tc>
          <w:tcPr>
            <w:tcW w:type="dxa" w:w="2448"/>
          </w:tcPr>
          <w:p>
            <w:r>
              <w:rPr>
                <w:sz w:val="18"/>
              </w:rPr>
              <w:t>Interpolation cross-maturité</w:t>
            </w:r>
          </w:p>
        </w:tc>
        <w:tc>
          <w:tcPr>
            <w:tcW w:type="dxa" w:w="1296"/>
          </w:tcPr>
          <w:p>
            <w:r>
              <w:rPr>
                <w:sz w:val="18"/>
              </w:rPr>
              <w:t>Eq.22</w:t>
            </w:r>
          </w:p>
        </w:tc>
        <w:tc>
          <w:tcPr>
            <w:tcW w:type="dxa" w:w="1440"/>
          </w:tcPr>
          <w:p>
            <w:r>
              <w:rPr>
                <w:b/>
                <w:color w:val="3F8950"/>
                <w:sz w:val="18"/>
              </w:rPr>
              <w:t>Conforme</w:t>
            </w:r>
          </w:p>
        </w:tc>
        <w:tc>
          <w:tcPr>
            <w:tcW w:type="dxa" w:w="4752"/>
          </w:tcPr>
          <w:p>
            <w:r>
              <w:rPr>
                <w:sz w:val="18"/>
              </w:rPr>
              <w:t>surface_interpolated : 17 500 lignes / 7 tenors exacts (11/06)</w:t>
            </w:r>
          </w:p>
        </w:tc>
      </w:tr>
      <w:tr>
        <w:tc>
          <w:tcPr>
            <w:tcW w:type="dxa" w:w="2448"/>
          </w:tcPr>
          <w:p>
            <w:r>
              <w:rPr>
                <w:sz w:val="18"/>
              </w:rPr>
              <w:t>Variance panier / dispersion</w:t>
            </w:r>
          </w:p>
        </w:tc>
        <w:tc>
          <w:tcPr>
            <w:tcW w:type="dxa" w:w="1296"/>
          </w:tcPr>
          <w:p>
            <w:r>
              <w:rPr>
                <w:sz w:val="18"/>
              </w:rPr>
              <w:t>Eq.23</w:t>
            </w:r>
          </w:p>
        </w:tc>
        <w:tc>
          <w:tcPr>
            <w:tcW w:type="dxa" w:w="1440"/>
          </w:tcPr>
          <w:p>
            <w:r>
              <w:rPr>
                <w:b/>
                <w:color w:val="3F8950"/>
                <w:sz w:val="18"/>
              </w:rPr>
              <w:t>Conforme</w:t>
            </w:r>
          </w:p>
        </w:tc>
        <w:tc>
          <w:tcPr>
            <w:tcW w:type="dxa" w:w="4752"/>
          </w:tcPr>
          <w:p>
            <w:r>
              <w:rPr>
                <w:sz w:val="18"/>
              </w:rPr>
              <w:t>ρ̄ = 0.25–0.37 sur 7 tenors (11/06) ; table dédiée + page dashboard</w:t>
            </w:r>
          </w:p>
        </w:tc>
      </w:tr>
      <w:tr>
        <w:tc>
          <w:tcPr>
            <w:tcW w:type="dxa" w:w="2448"/>
          </w:tcPr>
          <w:p>
            <w:r>
              <w:rPr>
                <w:sz w:val="18"/>
              </w:rPr>
              <w:t>Z-score robuste MAD</w:t>
            </w:r>
          </w:p>
        </w:tc>
        <w:tc>
          <w:tcPr>
            <w:tcW w:type="dxa" w:w="1296"/>
          </w:tcPr>
          <w:p>
            <w:r>
              <w:rPr>
                <w:sz w:val="18"/>
              </w:rPr>
              <w:t>Eq.24</w:t>
            </w:r>
          </w:p>
        </w:tc>
        <w:tc>
          <w:tcPr>
            <w:tcW w:type="dxa" w:w="1440"/>
          </w:tcPr>
          <w:p>
            <w:r>
              <w:rPr>
                <w:b/>
                <w:color w:val="3F8950"/>
                <w:sz w:val="18"/>
              </w:rPr>
              <w:t>Conforme</w:t>
            </w:r>
          </w:p>
        </w:tc>
        <w:tc>
          <w:tcPr>
            <w:tcW w:type="dxa" w:w="4752"/>
          </w:tcPr>
          <w:p>
            <w:r>
              <w:rPr>
                <w:sz w:val="18"/>
              </w:rPr>
              <w:t>rejet forwards + baselines anomalies</w:t>
            </w:r>
          </w:p>
        </w:tc>
      </w:tr>
      <w:tr>
        <w:tc>
          <w:tcPr>
            <w:tcW w:type="dxa" w:w="2448"/>
          </w:tcPr>
          <w:p>
            <w:r>
              <w:rPr>
                <w:sz w:val="18"/>
              </w:rPr>
              <w:t>Diagnostics spread &amp; mid</w:t>
            </w:r>
          </w:p>
        </w:tc>
        <w:tc>
          <w:tcPr>
            <w:tcW w:type="dxa" w:w="1296"/>
          </w:tcPr>
          <w:p>
            <w:r>
              <w:rPr>
                <w:sz w:val="18"/>
              </w:rPr>
              <w:t>Eq.25</w:t>
            </w:r>
          </w:p>
        </w:tc>
        <w:tc>
          <w:tcPr>
            <w:tcW w:type="dxa" w:w="1440"/>
          </w:tcPr>
          <w:p>
            <w:r>
              <w:rPr>
                <w:b/>
                <w:color w:val="3F8950"/>
                <w:sz w:val="18"/>
              </w:rPr>
              <w:t>Conforme</w:t>
            </w:r>
          </w:p>
        </w:tc>
        <w:tc>
          <w:tcPr>
            <w:tcW w:type="dxa" w:w="4752"/>
          </w:tcPr>
          <w:p>
            <w:r>
              <w:rPr>
                <w:sz w:val="18"/>
              </w:rPr>
              <w:t>quote_filters qf_v2 (95.9 % usable)</w:t>
            </w:r>
          </w:p>
        </w:tc>
      </w:tr>
    </w:tbl>
    <w:p>
      <w:r>
        <w:br w:type="page"/>
      </w:r>
    </w:p>
    <w:p>
      <w:pPr>
        <w:pStyle w:val="Heading1"/>
      </w:pPr>
      <w:r>
        <w:rPr>
          <w:color w:val="1A3A5C"/>
        </w:rPr>
        <w:t>5. Différences notables vs roadmap/spec — déviations assumées</w:t>
      </w:r>
    </w:p>
    <w:p>
      <w:pPr>
        <w:spacing w:after="120"/>
      </w:pPr>
      <w:r>
        <w:rPr>
          <w:b w:val="0"/>
          <w:i w:val="0"/>
          <w:sz w:val="21"/>
        </w:rPr>
        <w:t>Ce qui diffère volontairement (ou par contrainte externe) de la lettre de la roadmap ou de la spec, avec justification et voie de retour.</w:t>
      </w:r>
    </w:p>
    <w:p>
      <w:pPr>
        <w:pStyle w:val="Heading2"/>
      </w:pPr>
      <w:r>
        <w:rPr>
          <w:color w:val="2C5577"/>
        </w:rPr>
        <w:t>Grille de collecte réduite (mais élargie à 7 tenors)</w:t>
      </w:r>
    </w:p>
    <w:p>
      <w:pPr>
        <w:spacing w:after="40"/>
      </w:pPr>
      <w:r>
        <w:rPr>
          <w:b w:val="0"/>
          <w:i/>
          <w:color w:val="6A737D"/>
          <w:sz w:val="19"/>
        </w:rPr>
        <w:t>Demandé : Spec : 12 maturités (1j → 3 ans) × ATM ± 10/20/30Δ.</w:t>
      </w:r>
    </w:p>
    <w:p>
      <w:pPr>
        <w:spacing w:after="40"/>
      </w:pPr>
      <w:r>
        <w:rPr>
          <w:b w:val="0"/>
          <w:i w:val="0"/>
          <w:sz w:val="19"/>
        </w:rPr>
        <w:t>Réalisé : 7 tenors (1m, 3m, 6m, 9m, 12m, 18m, 24m) × ATM ± 10/30Δ, call &amp; put — le 18m a été ajouté le 10/06 pour combler le trou 1an→2ans (interpolation Eq.22 plus précise) et VALIDÉ en réel le 11/06.</w:t>
      </w:r>
    </w:p>
    <w:p>
      <w:pPr>
        <w:spacing w:after="120"/>
      </w:pPr>
      <w:r>
        <w:rPr>
          <w:b w:val="0"/>
          <w:i w:val="0"/>
          <w:color w:val="44546A"/>
          <w:sz w:val="19"/>
        </w:rPr>
        <w:t>Justification / réversibilité : Choix utilisateur assumé ; réversible par configuration seule (universe.yaml), défauts spec complets conservés dans live.py.</w:t>
      </w:r>
    </w:p>
    <w:p>
      <w:pPr>
        <w:pStyle w:val="Heading2"/>
      </w:pPr>
      <w:r>
        <w:rPr>
          <w:color w:val="2C5577"/>
        </w:rPr>
        <w:t>Bourse d'options ≠ EUREX pour 3 composantes</w:t>
      </w:r>
    </w:p>
    <w:p>
      <w:pPr>
        <w:spacing w:after="40"/>
      </w:pPr>
      <w:r>
        <w:rPr>
          <w:b w:val="0"/>
          <w:i/>
          <w:color w:val="6A737D"/>
          <w:sz w:val="19"/>
        </w:rPr>
        <w:t>Demandé : Spec : options des composantes sur EUREX.</w:t>
      </w:r>
    </w:p>
    <w:p>
      <w:pPr>
        <w:spacing w:after="40"/>
      </w:pPr>
      <w:r>
        <w:rPr>
          <w:b w:val="0"/>
          <w:i w:val="0"/>
          <w:sz w:val="19"/>
        </w:rPr>
        <w:t>Réalisé : BBVA et IBE → MEFF ; ARGX → BELFOX (seules bourses listant leurs options via IBKR — vérifié par probes le 10/06).</w:t>
      </w:r>
    </w:p>
    <w:p>
      <w:pPr>
        <w:spacing w:after="120"/>
      </w:pPr>
      <w:r>
        <w:rPr>
          <w:b w:val="0"/>
          <w:i w:val="0"/>
          <w:color w:val="44546A"/>
          <w:sz w:val="19"/>
        </w:rPr>
        <w:t>Justification / réversibilité : Champ option_exchange par sous-jacent ; documenté known_limitations.md.</w:t>
      </w:r>
    </w:p>
    <w:p>
      <w:pPr>
        <w:pStyle w:val="Heading2"/>
      </w:pPr>
      <w:r>
        <w:rPr>
          <w:color w:val="2C5577"/>
        </w:rPr>
        <w:t>Nordea (NDA) sans données</w:t>
      </w:r>
    </w:p>
    <w:p>
      <w:pPr>
        <w:spacing w:after="40"/>
      </w:pPr>
      <w:r>
        <w:rPr>
          <w:b w:val="0"/>
          <w:i/>
          <w:color w:val="6A737D"/>
          <w:sz w:val="19"/>
        </w:rPr>
        <w:t>Demandé : Les 50 composantes produisent spot/forward/IV/greeks.</w:t>
      </w:r>
    </w:p>
    <w:p>
      <w:pPr>
        <w:spacing w:after="40"/>
      </w:pPr>
      <w:r>
        <w:rPr>
          <w:b w:val="0"/>
          <w:i w:val="0"/>
          <w:sz w:val="19"/>
        </w:rPr>
        <w:t>Réalisé : Conid HEX correct (« NDA FI ») mais le compte paper n'a pas l'entitlement Nasdaq Nordic (spot et close vides) ; options uniquement sur OMS Stockholm en SEK.</w:t>
      </w:r>
    </w:p>
    <w:p>
      <w:pPr>
        <w:spacing w:after="120"/>
      </w:pPr>
      <w:r>
        <w:rPr>
          <w:b w:val="0"/>
          <w:i w:val="0"/>
          <w:color w:val="44546A"/>
          <w:sz w:val="19"/>
        </w:rPr>
        <w:t>Justification / réversibilité : Gardé dans l'univers (la condition « les 50 » est remplie) ; flagué indisponible par le QC — le traitement prévu par la spec (§3 : flaguer, ne pas inventer). Solution : souscription payante.</w:t>
      </w:r>
    </w:p>
    <w:p>
      <w:pPr>
        <w:pStyle w:val="Heading2"/>
      </w:pPr>
      <w:r>
        <w:rPr>
          <w:color w:val="2C5577"/>
        </w:rPr>
        <w:t>Poids de dispersion (Eq.23) égaux</w:t>
      </w:r>
    </w:p>
    <w:p>
      <w:pPr>
        <w:spacing w:after="40"/>
      </w:pPr>
      <w:r>
        <w:rPr>
          <w:b w:val="0"/>
          <w:i/>
          <w:color w:val="6A737D"/>
          <w:sz w:val="19"/>
        </w:rPr>
        <w:t>Demandé : Identité de variance avec les poids du panier.</w:t>
      </w:r>
    </w:p>
    <w:p>
      <w:pPr>
        <w:spacing w:after="40"/>
      </w:pPr>
      <w:r>
        <w:rPr>
          <w:b w:val="0"/>
          <w:i w:val="0"/>
          <w:sz w:val="19"/>
        </w:rPr>
        <w:t>Réalisé : Poids égaux entre composantes disponibles (pondération free-float STOXX non exposée par IBKR) ; champ weight par sous-jacent déjà supporté si une source de poids est fournie.</w:t>
      </w:r>
    </w:p>
    <w:p>
      <w:pPr>
        <w:spacing w:after="120"/>
      </w:pPr>
      <w:r>
        <w:rPr>
          <w:b w:val="0"/>
          <w:i w:val="0"/>
          <w:color w:val="44546A"/>
          <w:sz w:val="19"/>
        </w:rPr>
        <w:t>Justification / réversibilité : Biais documenté (grandes capitalisations sous-pondérées) ; ρ̄ obtenu 0.25–0.37 économiquement cohérent.</w:t>
      </w:r>
    </w:p>
    <w:p>
      <w:pPr>
        <w:pStyle w:val="Heading2"/>
      </w:pPr>
      <w:r>
        <w:rPr>
          <w:color w:val="2C5577"/>
        </w:rPr>
        <w:t>Taux sans courbe</w:t>
      </w:r>
    </w:p>
    <w:p>
      <w:pPr>
        <w:spacing w:after="40"/>
      </w:pPr>
      <w:r>
        <w:rPr>
          <w:b w:val="0"/>
          <w:i/>
          <w:color w:val="6A737D"/>
          <w:sz w:val="19"/>
        </w:rPr>
        <w:t>Demandé : Actualisation/carry avec taux adaptés.</w:t>
      </w:r>
    </w:p>
    <w:p>
      <w:pPr>
        <w:spacing w:after="40"/>
      </w:pPr>
      <w:r>
        <w:rPr>
          <w:b w:val="0"/>
          <w:i w:val="0"/>
          <w:sz w:val="19"/>
        </w:rPr>
        <w:t>Réalisé : Taux EUR constant 2.5 % (configs/pricing.yaml) ; carry implicite dérivé du forward par parité.</w:t>
      </w:r>
    </w:p>
    <w:p>
      <w:pPr>
        <w:spacing w:after="120"/>
      </w:pPr>
      <w:r>
        <w:rPr>
          <w:b w:val="0"/>
          <w:i w:val="0"/>
          <w:color w:val="44546A"/>
          <w:sz w:val="19"/>
        </w:rPr>
        <w:t>Justification / réversibilité : Acceptable sur 0–2 ans ; brancher une courbe ESTR serait l'étape suivante.</w:t>
      </w:r>
    </w:p>
    <w:p>
      <w:pPr>
        <w:pStyle w:val="Heading2"/>
      </w:pPr>
      <w:r>
        <w:rPr>
          <w:color w:val="2C5577"/>
        </w:rPr>
        <w:t>Authentification du gateway manuelle</w:t>
      </w:r>
    </w:p>
    <w:p>
      <w:pPr>
        <w:spacing w:after="40"/>
      </w:pPr>
      <w:r>
        <w:rPr>
          <w:b w:val="0"/>
          <w:i/>
          <w:color w:val="6A737D"/>
          <w:sz w:val="19"/>
        </w:rPr>
        <w:t>Demandé : Orchestration entièrement automatisée.</w:t>
      </w:r>
    </w:p>
    <w:p>
      <w:pPr>
        <w:spacing w:after="40"/>
      </w:pPr>
      <w:r>
        <w:rPr>
          <w:b w:val="0"/>
          <w:i w:val="0"/>
          <w:sz w:val="19"/>
        </w:rPr>
        <w:t>Réalisé : Scheduler Windows + routage d'alertes codés, mais le login navigateur IBKR reste manuel (1×/session).</w:t>
      </w:r>
    </w:p>
    <w:p>
      <w:pPr>
        <w:spacing w:after="120"/>
      </w:pPr>
      <w:r>
        <w:rPr>
          <w:b w:val="0"/>
          <w:i w:val="0"/>
          <w:color w:val="44546A"/>
          <w:sz w:val="19"/>
        </w:rPr>
        <w:t>Justification / réversibilité : Contrainte IBKR retail (OAuth headless = institutionnel) ; IBeam documenté pour automatiser le re-login.</w:t>
      </w:r>
    </w:p>
    <w:p>
      <w:pPr>
        <w:pStyle w:val="Heading2"/>
      </w:pPr>
      <w:r>
        <w:rPr>
          <w:color w:val="2C5577"/>
        </w:rPr>
        <w:t>Données différées (15 min)</w:t>
      </w:r>
    </w:p>
    <w:p>
      <w:pPr>
        <w:spacing w:after="40"/>
      </w:pPr>
      <w:r>
        <w:rPr>
          <w:b w:val="0"/>
          <w:i/>
          <w:color w:val="6A737D"/>
          <w:sz w:val="19"/>
        </w:rPr>
        <w:t>Demandé : Flux de données de marché.</w:t>
      </w:r>
    </w:p>
    <w:p>
      <w:pPr>
        <w:spacing w:after="40"/>
      </w:pPr>
      <w:r>
        <w:rPr>
          <w:b w:val="0"/>
          <w:i w:val="0"/>
          <w:sz w:val="19"/>
        </w:rPr>
        <w:t>Réalisé : Compte paper → flux DIFFÉRÉ ; lent à s'établir à l'ouverture européenne (~6 s/lot vs ~2 s l'après-midi — mesuré le 11/06).</w:t>
      </w:r>
    </w:p>
    <w:p>
      <w:pPr>
        <w:spacing w:after="120"/>
      </w:pPr>
      <w:r>
        <w:rPr>
          <w:b w:val="0"/>
          <w:i w:val="0"/>
          <w:color w:val="44546A"/>
          <w:sz w:val="19"/>
        </w:rPr>
        <w:t>Justification / réversibilité : Suffisant pour l'analytique ; warm-up adaptatif absorbe la variabilité ; abonnement temps réel sinon.</w:t>
      </w:r>
    </w:p>
    <w:p>
      <w:pPr>
        <w:pStyle w:val="Heading2"/>
      </w:pPr>
      <w:r>
        <w:rPr>
          <w:color w:val="2C5577"/>
        </w:rPr>
        <w:t>Tables liées au portefeuille vides</w:t>
      </w:r>
    </w:p>
    <w:p>
      <w:pPr>
        <w:spacing w:after="40"/>
      </w:pPr>
      <w:r>
        <w:rPr>
          <w:b w:val="0"/>
          <w:i/>
          <w:color w:val="6A737D"/>
          <w:sz w:val="19"/>
        </w:rPr>
        <w:t>Demandé : positions/position_risk/risk_aggregates/scenario_results alimentées.</w:t>
      </w:r>
    </w:p>
    <w:p>
      <w:pPr>
        <w:spacing w:after="40"/>
      </w:pPr>
      <w:r>
        <w:rPr>
          <w:b w:val="0"/>
          <w:i w:val="0"/>
          <w:sz w:val="19"/>
        </w:rPr>
        <w:t>Réalisé : Code branché et testé (portefeuille fictif en tests unitaires) mais compte paper sans position.</w:t>
      </w:r>
    </w:p>
    <w:p>
      <w:pPr>
        <w:spacing w:after="120"/>
      </w:pPr>
      <w:r>
        <w:rPr>
          <w:b w:val="0"/>
          <w:i w:val="0"/>
          <w:color w:val="44546A"/>
          <w:sz w:val="19"/>
        </w:rPr>
        <w:t>Justification / réversibilité : Comportement conforme. Pour la démo : passer quelques ordres paper EUREX en séance.</w:t>
      </w:r>
    </w:p>
    <w:p>
      <w:r>
        <w:br w:type="page"/>
      </w:r>
    </w:p>
    <w:p>
      <w:pPr>
        <w:pStyle w:val="Heading1"/>
      </w:pPr>
      <w:r>
        <w:rPr>
          <w:color w:val="1A3A5C"/>
        </w:rPr>
        <w:t>6. Étude de cas — incident market data du 11/06 (résolu en séance)</w:t>
      </w:r>
    </w:p>
    <w:p>
      <w:pPr>
        <w:spacing w:after="120"/>
      </w:pPr>
      <w:r>
        <w:rPr>
          <w:b w:val="0"/>
          <w:i w:val="0"/>
          <w:sz w:val="21"/>
        </w:rPr>
        <w:t>La roadmap insiste : « validation must be treated as a product » (Step 14) et l'acceptance de l'étape 14 exige qu'un opérateur identifie les sous-jacents défaillants « within minutes ». L'incident du 11/06 a mis ces exigences à l'épreuve en situation réelle — et c'est l'infrastructure de QC/observabilité construite les jours précédents qui a permis une résolution en ~1h45, hypothèses documentées à l'appui.</w:t>
      </w:r>
    </w:p>
    <w:p>
      <w:pPr>
        <w:pStyle w:val="Heading2"/>
      </w:pPr>
      <w:r>
        <w:rPr>
          <w:color w:val="2C5577"/>
        </w:rPr>
        <w:t>6.1 Chronologie</w:t>
      </w:r>
    </w:p>
    <w:tbl>
      <w:tblPr>
        <w:tblStyle w:val="TableGrid"/>
        <w:tblW w:type="auto" w:w="0"/>
        <w:jc w:val="center"/>
        <w:tblLook w:firstColumn="1" w:firstRow="1" w:lastColumn="0" w:lastRow="0" w:noHBand="0" w:noVBand="1" w:val="04A0"/>
      </w:tblPr>
      <w:tblGrid>
        <w:gridCol w:w="4968"/>
        <w:gridCol w:w="4968"/>
      </w:tblGrid>
      <w:tr>
        <w:tc>
          <w:tcPr>
            <w:tcW w:type="dxa" w:w="1008"/>
            <w:shd w:val="clear" w:fill="dbe7f0"/>
          </w:tcPr>
          <w:p>
            <w:r>
              <w:rPr>
                <w:b/>
                <w:sz w:val="18"/>
              </w:rPr>
              <w:t>Heure</w:t>
            </w:r>
          </w:p>
        </w:tc>
        <w:tc>
          <w:tcPr>
            <w:tcW w:type="dxa" w:w="8928"/>
            <w:shd w:val="clear" w:fill="dbe7f0"/>
          </w:tcPr>
          <w:p>
            <w:r>
              <w:rPr>
                <w:b/>
                <w:sz w:val="18"/>
              </w:rPr>
              <w:t>Événement</w:t>
            </w:r>
          </w:p>
        </w:tc>
      </w:tr>
      <w:tr>
        <w:tc>
          <w:tcPr>
            <w:tcW w:type="dxa" w:w="1008"/>
          </w:tcPr>
          <w:p>
            <w:r>
              <w:rPr>
                <w:sz w:val="18"/>
              </w:rPr>
              <w:t>10:00</w:t>
            </w:r>
          </w:p>
        </w:tc>
        <w:tc>
          <w:tcPr>
            <w:tcW w:type="dxa" w:w="8928"/>
          </w:tcPr>
          <w:p>
            <w:r>
              <w:rPr>
                <w:sz w:val="18"/>
              </w:rPr>
              <w:t>1er cycle du jour : symboles en échec par paquets entiers (0 usable / N quotes), pattern tout-ou-rien — pourtant BMW/DHL/SAP passent. Le QC et le status par symbole rendent l'anomalie visible immédiatement.</w:t>
            </w:r>
          </w:p>
        </w:tc>
      </w:tr>
      <w:tr>
        <w:tc>
          <w:tcPr>
            <w:tcW w:type="dxa" w:w="1008"/>
          </w:tcPr>
          <w:p>
            <w:r>
              <w:rPr>
                <w:sz w:val="18"/>
              </w:rPr>
              <w:t>10:15</w:t>
            </w:r>
          </w:p>
        </w:tc>
        <w:tc>
          <w:tcPr>
            <w:tcW w:type="dxa" w:w="8928"/>
          </w:tcPr>
          <w:p>
            <w:r>
              <w:rPr>
                <w:sz w:val="18"/>
              </w:rPr>
              <w:t>Hypothèse 1 (session concurrente / coéquipier connecté) ÉLIMINÉE : /iserver/auth/status → competing=false.</w:t>
            </w:r>
          </w:p>
        </w:tc>
      </w:tr>
      <w:tr>
        <w:tc>
          <w:tcPr>
            <w:tcW w:type="dxa" w:w="1008"/>
          </w:tcPr>
          <w:p>
            <w:r>
              <w:rPr>
                <w:sz w:val="18"/>
              </w:rPr>
              <w:t>10:20</w:t>
            </w:r>
          </w:p>
        </w:tc>
        <w:tc>
          <w:tcPr>
            <w:tcW w:type="dxa" w:w="8928"/>
          </w:tcPr>
          <w:p>
            <w:r>
              <w:rPr>
                <w:sz w:val="18"/>
              </w:rPr>
              <w:t>Hypothèse 2 (marché fermé) ÉLIMINÉE : XETRA ouvert depuis 9h ; probe REST directe → le sous-jacent répond, l'option met 6.3 s à livrer son premier prix (farm différé lent à l'ouverture européenne).</w:t>
            </w:r>
          </w:p>
        </w:tc>
      </w:tr>
      <w:tr>
        <w:tc>
          <w:tcPr>
            <w:tcW w:type="dxa" w:w="1008"/>
          </w:tcPr>
          <w:p>
            <w:r>
              <w:rPr>
                <w:sz w:val="18"/>
              </w:rPr>
              <w:t>10:30</w:t>
            </w:r>
          </w:p>
        </w:tc>
        <w:tc>
          <w:tcPr>
            <w:tcW w:type="dxa" w:w="8928"/>
          </w:tcPr>
          <w:p>
            <w:r>
              <w:rPr>
                <w:sz w:val="18"/>
              </w:rPr>
              <w:t>Fix 1 : warm-up ADAPTATIF du snapshot (complétude/plateau, plafond 30 essais). Amélioration partielle seulement → la cause profonde est ailleurs.</w:t>
            </w:r>
          </w:p>
        </w:tc>
      </w:tr>
      <w:tr>
        <w:tc>
          <w:tcPr>
            <w:tcW w:type="dxa" w:w="1008"/>
          </w:tcPr>
          <w:p>
            <w:r>
              <w:rPr>
                <w:sz w:val="18"/>
              </w:rPr>
              <w:t>11:00</w:t>
            </w:r>
          </w:p>
        </w:tc>
        <w:tc>
          <w:tcPr>
            <w:tcW w:type="dxa" w:w="8928"/>
          </w:tcPr>
          <w:p>
            <w:r>
              <w:rPr>
                <w:sz w:val="18"/>
              </w:rPr>
              <w:t>Run 2 pire (10/51) : même le 1er symbole échoue alors qu'une sonde isolée fonctionne. Hypothèse 3 : SATURATION du pool de souscriptions market data (chaque snapshot souscrit côté serveur POUR TOUTE LA SESSION ; persiste entre les runs ; le re-login ne purge pas).</w:t>
            </w:r>
          </w:p>
        </w:tc>
      </w:tr>
      <w:tr>
        <w:tc>
          <w:tcPr>
            <w:tcW w:type="dxa" w:w="1008"/>
          </w:tcPr>
          <w:p>
            <w:r>
              <w:rPr>
                <w:sz w:val="18"/>
              </w:rPr>
              <w:t>11:05</w:t>
            </w:r>
          </w:p>
        </w:tc>
        <w:tc>
          <w:tcPr>
            <w:tcW w:type="dxa" w:w="8928"/>
          </w:tcPr>
          <w:p>
            <w:r>
              <w:rPr>
                <w:sz w:val="18"/>
              </w:rPr>
              <w:t>PREUVE : GET /iserver/marketdata/unsubscribeall → ESTX50 passe de 0/68 à 68/68 instantanément.</w:t>
            </w:r>
          </w:p>
        </w:tc>
      </w:tr>
      <w:tr>
        <w:tc>
          <w:tcPr>
            <w:tcW w:type="dxa" w:w="1008"/>
          </w:tcPr>
          <w:p>
            <w:r>
              <w:rPr>
                <w:sz w:val="18"/>
              </w:rPr>
              <w:t>11:10</w:t>
            </w:r>
          </w:p>
        </w:tc>
        <w:tc>
          <w:tcPr>
            <w:tcW w:type="dxa" w:w="8928"/>
          </w:tcPr>
          <w:p>
            <w:r>
              <w:rPr>
                <w:sz w:val="18"/>
              </w:rPr>
              <w:t>Fix 2 : purge avant chaque symbole (~72 lignes consommées par symbole vs limite ~100) ; lots de snapshot 100 → 30 conids ; plateaux loggés en INFO.</w:t>
            </w:r>
          </w:p>
        </w:tc>
      </w:tr>
      <w:tr>
        <w:tc>
          <w:tcPr>
            <w:tcW w:type="dxa" w:w="1008"/>
          </w:tcPr>
          <w:p>
            <w:r>
              <w:rPr>
                <w:sz w:val="18"/>
              </w:rPr>
              <w:t>11:25</w:t>
            </w:r>
          </w:p>
        </w:tc>
        <w:tc>
          <w:tcPr>
            <w:tcW w:type="dxa" w:w="8928"/>
          </w:tcPr>
          <w:p>
            <w:r>
              <w:rPr>
                <w:sz w:val="18"/>
              </w:rPr>
              <w:t>Validation : tous les symboles sains dès le départ. Fix 3 (perf) : le critère de readiness n'exige un prix que si des prix sont demandés (le snapshot iv30 ne boucle plus à vide, ~13 min de cycle économisées).</w:t>
            </w:r>
          </w:p>
        </w:tc>
      </w:tr>
      <w:tr>
        <w:tc>
          <w:tcPr>
            <w:tcW w:type="dxa" w:w="1008"/>
          </w:tcPr>
          <w:p>
            <w:r>
              <w:rPr>
                <w:sz w:val="18"/>
              </w:rPr>
              <w:t>11:45</w:t>
            </w:r>
          </w:p>
        </w:tc>
        <w:tc>
          <w:tcPr>
            <w:tcW w:type="dxa" w:w="8928"/>
          </w:tcPr>
          <w:p>
            <w:r>
              <w:rPr>
                <w:sz w:val="18"/>
              </w:rPr>
              <w:t>RUN RECORD : 50/51 sous-jacents, 95.9 % usable, SAN 69/70 (son 29/60 chronique était la même saturation), cycle 31 min. Commit 8ed615d poussé (main + jeremy).</w:t>
            </w:r>
          </w:p>
        </w:tc>
      </w:tr>
    </w:tbl>
    <w:p>
      <w:pPr>
        <w:pStyle w:val="Heading2"/>
      </w:pPr>
      <w:r>
        <w:rPr>
          <w:color w:val="2C5577"/>
        </w:rPr>
        <w:t>6.2 Cause racine et correctifs</w:t>
      </w:r>
    </w:p>
    <w:p>
      <w:pPr>
        <w:spacing w:after="120"/>
      </w:pPr>
      <w:r>
        <w:rPr>
          <w:b w:val="0"/>
          <w:i w:val="0"/>
          <w:sz w:val="20"/>
        </w:rPr>
        <w:t>Cause racine : IBKR limite à ~100 le nombre de LIGNES de market data simultanées par session. Chaque appel snapshot SOUSCRIT ses conids côté serveur, pour toute la durée de la session gateway — y compris ENTRE les processus (le re-login ne purge pas). Un sous-jacent consomme ~72 lignes (chaîne + spot + iv30) : dès le 2e symbole sans purge, le plafond est dépassé et le serveur évince silencieusement — les snapshots reviennent sans champs de prix, par lots entiers. Invisible avec l'ancien univers de 6 valeurs ; révélé par 51 × 7 tenors.</w:t>
      </w:r>
    </w:p>
    <w:p>
      <w:pPr>
        <w:pStyle w:val="ListBullet"/>
        <w:spacing w:after="40"/>
      </w:pPr>
      <w:r>
        <w:rPr>
          <w:sz w:val="19"/>
        </w:rPr>
        <w:t>Purge unsubscribeall AVANT CHAQUE SYMBOLE (adaptateur : unsubscribe_all_marketdata(), no-op par défaut dans l'interface broker-agnostique).</w:t>
      </w:r>
    </w:p>
    <w:p>
      <w:pPr>
        <w:pStyle w:val="ListBullet"/>
        <w:spacing w:after="40"/>
      </w:pPr>
      <w:r>
        <w:rPr>
          <w:sz w:val="19"/>
        </w:rPr>
        <w:t>Lots de snapshot réduits de 100 à 30 conids (taille robuste quand le farm différé est chargé).</w:t>
      </w:r>
    </w:p>
    <w:p>
      <w:pPr>
        <w:pStyle w:val="ListBullet"/>
        <w:spacing w:after="40"/>
      </w:pPr>
      <w:r>
        <w:rPr>
          <w:sz w:val="19"/>
        </w:rPr>
        <w:t>Warm-up adaptatif : poursuite tant que des prix arrivent, arrêt sur complétude ou plateau (5 essais sans progrès après un minimum de 8), plafond 30 essais.</w:t>
      </w:r>
    </w:p>
    <w:p>
      <w:pPr>
        <w:pStyle w:val="ListBullet"/>
        <w:spacing w:after="40"/>
      </w:pPr>
      <w:r>
        <w:rPr>
          <w:sz w:val="19"/>
        </w:rPr>
        <w:t>Critère de readiness intelligent : un prix n'est exigé que si des prix sont demandés (les snapshots iv30/greeks seuls ne bouclent plus à vide).</w:t>
      </w:r>
    </w:p>
    <w:p>
      <w:pPr>
        <w:pStyle w:val="ListBullet"/>
        <w:spacing w:after="40"/>
      </w:pPr>
      <w:r>
        <w:rPr>
          <w:sz w:val="19"/>
        </w:rPr>
        <w:t>Plateaux et purges loggés en INFO : le diagnostic de ce type d'incident ne nécessite plus de relancer en DEBUG.</w:t>
      </w:r>
    </w:p>
    <w:p>
      <w:pPr>
        <w:pStyle w:val="Heading2"/>
      </w:pPr>
      <w:r>
        <w:rPr>
          <w:color w:val="2C5577"/>
        </w:rPr>
        <w:t>6.3 Leçons capitalisées</w:t>
      </w:r>
    </w:p>
    <w:p>
      <w:pPr>
        <w:pStyle w:val="ListBullet"/>
        <w:spacing w:after="40"/>
      </w:pPr>
      <w:r>
        <w:rPr>
          <w:sz w:val="19"/>
        </w:rPr>
        <w:t>La conception loss-aware (échecs ENREGISTRÉS par symbole avec reason codes, jamais maquillés) est ce qui a rendu l'anomalie visible en quelques minutes — exactement l'intention de la roadmap.</w:t>
      </w:r>
    </w:p>
    <w:p>
      <w:pPr>
        <w:pStyle w:val="ListBullet"/>
        <w:spacing w:after="40"/>
      </w:pPr>
      <w:r>
        <w:rPr>
          <w:sz w:val="19"/>
        </w:rPr>
        <w:t>Le diagnostic a procédé par hypothèses ÉLIMINÉES avec preuves (session concurrente : competing=false ; marché fermé : probes en séance ; warm-up : fix utile mais insuffisant) avant d'isoler la cause par une expérience décisive (unsubscribeall → 0/68 devient 68/68).</w:t>
      </w:r>
    </w:p>
    <w:p>
      <w:pPr>
        <w:pStyle w:val="ListBullet"/>
        <w:spacing w:after="40"/>
      </w:pPr>
      <w:r>
        <w:rPr>
          <w:sz w:val="19"/>
        </w:rPr>
        <w:t>Effet collatéral résolu : l'anomalie chronique SAN 29/60 (attribuée à tort aux ailes illiquides) était la même saturation — SAN est à 69/70 depuis le correctif.</w:t>
      </w:r>
    </w:p>
    <w:p>
      <w:pPr>
        <w:pStyle w:val="ListBullet"/>
        <w:spacing w:after="40"/>
      </w:pPr>
      <w:r>
        <w:rPr>
          <w:sz w:val="19"/>
        </w:rPr>
        <w:t>Tout le savoir opérationnel est documenté (CLAUDE.md, known_limitations.md) et committé (8ed615d) : un nouvel opérateur n'a pas à redécouvrir la limite.</w:t>
      </w:r>
    </w:p>
    <w:p>
      <w:r>
        <w:br w:type="page"/>
      </w:r>
    </w:p>
    <w:p>
      <w:pPr>
        <w:pStyle w:val="Heading1"/>
      </w:pPr>
      <w:r>
        <w:rPr>
          <w:color w:val="1A3A5C"/>
        </w:rPr>
        <w:t>7. Inventaires de preuves</w:t>
      </w:r>
    </w:p>
    <w:p>
      <w:pPr>
        <w:pStyle w:val="Heading2"/>
      </w:pPr>
      <w:r>
        <w:rPr>
          <w:color w:val="2C5577"/>
        </w:rPr>
        <w:t>7.1 QC du 11/06 — répartition par check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shd w:val="clear" w:fill="dbe7f0"/>
          </w:tcPr>
          <w:p>
            <w:r>
              <w:rPr>
                <w:b/>
                <w:sz w:val="18"/>
              </w:rPr>
              <w:t>Check</w:t>
            </w:r>
          </w:p>
        </w:tc>
        <w:tc>
          <w:tcPr>
            <w:tcW w:type="dxa" w:w="864"/>
            <w:shd w:val="clear" w:fill="dbe7f0"/>
          </w:tcPr>
          <w:p>
            <w:r>
              <w:rPr>
                <w:b/>
                <w:sz w:val="18"/>
              </w:rPr>
              <w:t>fail</w:t>
            </w:r>
          </w:p>
        </w:tc>
        <w:tc>
          <w:tcPr>
            <w:tcW w:type="dxa" w:w="864"/>
            <w:shd w:val="clear" w:fill="dbe7f0"/>
          </w:tcPr>
          <w:p>
            <w:r>
              <w:rPr>
                <w:b/>
                <w:sz w:val="18"/>
              </w:rPr>
              <w:t>warn</w:t>
            </w:r>
          </w:p>
        </w:tc>
        <w:tc>
          <w:tcPr>
            <w:tcW w:type="dxa" w:w="5040"/>
            <w:shd w:val="clear" w:fill="dbe7f0"/>
          </w:tcPr>
          <w:p>
            <w:r>
              <w:rPr>
                <w:b/>
                <w:sz w:val="18"/>
              </w:rPr>
              <w:t>Lecture</w:t>
            </w:r>
          </w:p>
        </w:tc>
      </w:tr>
      <w:tr>
        <w:tc>
          <w:tcPr>
            <w:tcW w:type="dxa" w:w="3168"/>
          </w:tcPr>
          <w:p>
            <w:r>
              <w:rPr>
                <w:sz w:val="18"/>
              </w:rPr>
              <w:t>iv_convergence</w:t>
            </w:r>
          </w:p>
        </w:tc>
        <w:tc>
          <w:tcPr>
            <w:tcW w:type="dxa" w:w="864"/>
          </w:tcPr>
          <w:p>
            <w:r>
              <w:rPr>
                <w:sz w:val="18"/>
              </w:rPr>
              <w:t>19</w:t>
            </w:r>
          </w:p>
        </w:tc>
        <w:tc>
          <w:tcPr>
            <w:tcW w:type="dxa" w:w="864"/>
          </w:tcPr>
          <w:p>
            <w:r>
              <w:rPr>
                <w:sz w:val="18"/>
              </w:rPr>
              <w:t>14</w:t>
            </w:r>
          </w:p>
        </w:tc>
        <w:tc>
          <w:tcPr>
            <w:tcW w:type="dxa" w:w="5040"/>
          </w:tcPr>
          <w:p>
            <w:r>
              <w:rPr>
                <w:sz w:val="18"/>
              </w:rPr>
              <w:t>ailes longues en flux différé — tracées avec failure_reason</w:t>
            </w:r>
          </w:p>
        </w:tc>
      </w:tr>
      <w:tr>
        <w:tc>
          <w:tcPr>
            <w:tcW w:type="dxa" w:w="3168"/>
          </w:tcPr>
          <w:p>
            <w:r>
              <w:rPr>
                <w:sz w:val="18"/>
              </w:rPr>
              <w:t>no_arbitrage (papillon)</w:t>
            </w:r>
          </w:p>
        </w:tc>
        <w:tc>
          <w:tcPr>
            <w:tcW w:type="dxa" w:w="864"/>
          </w:tcPr>
          <w:p>
            <w:r>
              <w:rPr>
                <w:sz w:val="18"/>
              </w:rPr>
              <w:t>0</w:t>
            </w:r>
          </w:p>
        </w:tc>
        <w:tc>
          <w:tcPr>
            <w:tcW w:type="dxa" w:w="864"/>
          </w:tcPr>
          <w:p>
            <w:r>
              <w:rPr>
                <w:sz w:val="18"/>
              </w:rPr>
              <w:t>37</w:t>
            </w:r>
          </w:p>
        </w:tc>
        <w:tc>
          <w:tcPr>
            <w:tcW w:type="dxa" w:w="5040"/>
          </w:tcPr>
          <w:p>
            <w:r>
              <w:rPr>
                <w:sz w:val="18"/>
              </w:rPr>
              <w:t>strikes épars (5/maturité) — attendu et documenté</w:t>
            </w:r>
          </w:p>
        </w:tc>
      </w:tr>
      <w:tr>
        <w:tc>
          <w:tcPr>
            <w:tcW w:type="dxa" w:w="3168"/>
          </w:tcPr>
          <w:p>
            <w:r>
              <w:rPr>
                <w:sz w:val="18"/>
              </w:rPr>
              <w:t>option_chain_coverage</w:t>
            </w:r>
          </w:p>
        </w:tc>
        <w:tc>
          <w:tcPr>
            <w:tcW w:type="dxa" w:w="864"/>
          </w:tcPr>
          <w:p>
            <w:r>
              <w:rPr>
                <w:sz w:val="18"/>
              </w:rPr>
              <w:t>1</w:t>
            </w:r>
          </w:p>
        </w:tc>
        <w:tc>
          <w:tcPr>
            <w:tcW w:type="dxa" w:w="864"/>
          </w:tcPr>
          <w:p>
            <w:r>
              <w:rPr>
                <w:sz w:val="18"/>
              </w:rPr>
              <w:t>10</w:t>
            </w:r>
          </w:p>
        </w:tc>
        <w:tc>
          <w:tcPr>
            <w:tcW w:type="dxa" w:w="5040"/>
          </w:tcPr>
          <w:p>
            <w:r>
              <w:rPr>
                <w:sz w:val="18"/>
              </w:rPr>
              <w:t>valeurs à peu de maturités listées (réalité marché)</w:t>
            </w:r>
          </w:p>
        </w:tc>
      </w:tr>
      <w:tr>
        <w:tc>
          <w:tcPr>
            <w:tcW w:type="dxa" w:w="3168"/>
          </w:tcPr>
          <w:p>
            <w:r>
              <w:rPr>
                <w:sz w:val="18"/>
              </w:rPr>
              <w:t>forward_stability</w:t>
            </w:r>
          </w:p>
        </w:tc>
        <w:tc>
          <w:tcPr>
            <w:tcW w:type="dxa" w:w="864"/>
          </w:tcPr>
          <w:p>
            <w:r>
              <w:rPr>
                <w:sz w:val="18"/>
              </w:rPr>
              <w:t>4</w:t>
            </w:r>
          </w:p>
        </w:tc>
        <w:tc>
          <w:tcPr>
            <w:tcW w:type="dxa" w:w="864"/>
          </w:tcPr>
          <w:p>
            <w:r>
              <w:rPr>
                <w:sz w:val="18"/>
              </w:rPr>
              <w:t>6</w:t>
            </w:r>
          </w:p>
        </w:tc>
        <w:tc>
          <w:tcPr>
            <w:tcW w:type="dxa" w:w="5040"/>
          </w:tcPr>
          <w:p>
            <w:r>
              <w:rPr>
                <w:sz w:val="18"/>
              </w:rPr>
              <w:t>confiance basse sur maturités longues de valeurs creuses</w:t>
            </w:r>
          </w:p>
        </w:tc>
      </w:tr>
      <w:tr>
        <w:tc>
          <w:tcPr>
            <w:tcW w:type="dxa" w:w="3168"/>
          </w:tcPr>
          <w:p>
            <w:r>
              <w:rPr>
                <w:sz w:val="18"/>
              </w:rPr>
              <w:t>quote_health</w:t>
            </w:r>
          </w:p>
        </w:tc>
        <w:tc>
          <w:tcPr>
            <w:tcW w:type="dxa" w:w="864"/>
          </w:tcPr>
          <w:p>
            <w:r>
              <w:rPr>
                <w:sz w:val="18"/>
              </w:rPr>
              <w:t>1</w:t>
            </w:r>
          </w:p>
        </w:tc>
        <w:tc>
          <w:tcPr>
            <w:tcW w:type="dxa" w:w="864"/>
          </w:tcPr>
          <w:p>
            <w:r>
              <w:rPr>
                <w:sz w:val="18"/>
              </w:rPr>
              <w:t>4</w:t>
            </w:r>
          </w:p>
        </w:tc>
        <w:tc>
          <w:tcPr>
            <w:tcW w:type="dxa" w:w="5040"/>
          </w:tcPr>
          <w:p>
            <w:r>
              <w:rPr>
                <w:sz w:val="18"/>
              </w:rPr>
              <w:t>spreads larges résiduels</w:t>
            </w:r>
          </w:p>
        </w:tc>
      </w:tr>
      <w:tr>
        <w:tc>
          <w:tcPr>
            <w:tcW w:type="dxa" w:w="3168"/>
          </w:tcPr>
          <w:p>
            <w:r>
              <w:rPr>
                <w:sz w:val="18"/>
              </w:rPr>
              <w:t>carry_consistency</w:t>
            </w:r>
          </w:p>
        </w:tc>
        <w:tc>
          <w:tcPr>
            <w:tcW w:type="dxa" w:w="864"/>
          </w:tcPr>
          <w:p>
            <w:r>
              <w:rPr>
                <w:sz w:val="18"/>
              </w:rPr>
              <w:t>0</w:t>
            </w:r>
          </w:p>
        </w:tc>
        <w:tc>
          <w:tcPr>
            <w:tcW w:type="dxa" w:w="864"/>
          </w:tcPr>
          <w:p>
            <w:r>
              <w:rPr>
                <w:sz w:val="18"/>
              </w:rPr>
              <w:t>2</w:t>
            </w:r>
          </w:p>
        </w:tc>
        <w:tc>
          <w:tcPr>
            <w:tcW w:type="dxa" w:w="5040"/>
          </w:tcPr>
          <w:p>
            <w:r>
              <w:rPr>
                <w:sz w:val="18"/>
              </w:rPr>
              <w:t>le check borne le carry — il attrape réellement</w:t>
            </w:r>
          </w:p>
        </w:tc>
      </w:tr>
      <w:tr>
        <w:tc>
          <w:tcPr>
            <w:tcW w:type="dxa" w:w="3168"/>
          </w:tcPr>
          <w:p>
            <w:r>
              <w:rPr>
                <w:sz w:val="18"/>
              </w:rPr>
              <w:t>put_call_parity</w:t>
            </w:r>
          </w:p>
        </w:tc>
        <w:tc>
          <w:tcPr>
            <w:tcW w:type="dxa" w:w="864"/>
          </w:tcPr>
          <w:p>
            <w:r>
              <w:rPr>
                <w:sz w:val="18"/>
              </w:rPr>
              <w:t>0</w:t>
            </w:r>
          </w:p>
        </w:tc>
        <w:tc>
          <w:tcPr>
            <w:tcW w:type="dxa" w:w="864"/>
          </w:tcPr>
          <w:p>
            <w:r>
              <w:rPr>
                <w:sz w:val="18"/>
              </w:rPr>
              <w:t>1</w:t>
            </w:r>
          </w:p>
        </w:tc>
        <w:tc>
          <w:tcPr>
            <w:tcW w:type="dxa" w:w="5040"/>
          </w:tcPr>
          <w:p>
            <w:r>
              <w:rPr>
                <w:sz w:val="18"/>
              </w:rPr>
              <w:t>résidu médian conforme partout ailleurs</w:t>
            </w:r>
          </w:p>
        </w:tc>
      </w:tr>
      <w:tr>
        <w:tc>
          <w:tcPr>
            <w:tcW w:type="dxa" w:w="3168"/>
          </w:tcPr>
          <w:p>
            <w:r>
              <w:rPr>
                <w:sz w:val="18"/>
              </w:rPr>
              <w:t>broker_greeks_reconciliation</w:t>
            </w:r>
          </w:p>
        </w:tc>
        <w:tc>
          <w:tcPr>
            <w:tcW w:type="dxa" w:w="864"/>
          </w:tcPr>
          <w:p>
            <w:r>
              <w:rPr>
                <w:sz w:val="18"/>
              </w:rPr>
              <w:t>0</w:t>
            </w:r>
          </w:p>
        </w:tc>
        <w:tc>
          <w:tcPr>
            <w:tcW w:type="dxa" w:w="864"/>
          </w:tcPr>
          <w:p>
            <w:r>
              <w:rPr>
                <w:sz w:val="18"/>
              </w:rPr>
              <w:t>0</w:t>
            </w:r>
          </w:p>
        </w:tc>
        <w:tc>
          <w:tcPr>
            <w:tcW w:type="dxa" w:w="5040"/>
          </w:tcPr>
          <w:p>
            <w:r>
              <w:rPr>
                <w:sz w:val="18"/>
              </w:rPr>
              <w:t>50 pass / 1 skip (NDA)</w:t>
            </w:r>
          </w:p>
        </w:tc>
      </w:tr>
      <w:tr>
        <w:tc>
          <w:tcPr>
            <w:tcW w:type="dxa" w:w="3168"/>
          </w:tcPr>
          <w:p>
            <w:r>
              <w:rPr>
                <w:sz w:val="18"/>
              </w:rPr>
              <w:t>greeks_reconciliation (diff-finies)</w:t>
            </w:r>
          </w:p>
        </w:tc>
        <w:tc>
          <w:tcPr>
            <w:tcW w:type="dxa" w:w="864"/>
          </w:tcPr>
          <w:p>
            <w:r>
              <w:rPr>
                <w:sz w:val="18"/>
              </w:rPr>
              <w:t>0</w:t>
            </w:r>
          </w:p>
        </w:tc>
        <w:tc>
          <w:tcPr>
            <w:tcW w:type="dxa" w:w="864"/>
          </w:tcPr>
          <w:p>
            <w:r>
              <w:rPr>
                <w:sz w:val="18"/>
              </w:rPr>
              <w:t>0</w:t>
            </w:r>
          </w:p>
        </w:tc>
        <w:tc>
          <w:tcPr>
            <w:tcW w:type="dxa" w:w="5040"/>
          </w:tcPr>
          <w:p>
            <w:r>
              <w:rPr>
                <w:sz w:val="18"/>
              </w:rPr>
              <w:t>Δ médian 0.00116 sur 584 options</w:t>
            </w:r>
          </w:p>
        </w:tc>
      </w:tr>
      <w:tr>
        <w:tc>
          <w:tcPr>
            <w:tcW w:type="dxa" w:w="3168"/>
          </w:tcPr>
          <w:p>
            <w:r>
              <w:rPr>
                <w:sz w:val="18"/>
              </w:rPr>
              <w:t>surface_fit / calendar</w:t>
            </w:r>
          </w:p>
        </w:tc>
        <w:tc>
          <w:tcPr>
            <w:tcW w:type="dxa" w:w="864"/>
          </w:tcPr>
          <w:p>
            <w:r>
              <w:rPr>
                <w:sz w:val="18"/>
              </w:rPr>
              <w:t>0</w:t>
            </w:r>
          </w:p>
        </w:tc>
        <w:tc>
          <w:tcPr>
            <w:tcW w:type="dxa" w:w="864"/>
          </w:tcPr>
          <w:p>
            <w:r>
              <w:rPr>
                <w:sz w:val="18"/>
              </w:rPr>
              <w:t>0</w:t>
            </w:r>
          </w:p>
        </w:tc>
        <w:tc>
          <w:tcPr>
            <w:tcW w:type="dxa" w:w="5040"/>
          </w:tcPr>
          <w:p>
            <w:r>
              <w:rPr>
                <w:sz w:val="18"/>
              </w:rPr>
              <w:t>RMSE sous tolérance ; w(0,T) monotone</w:t>
            </w:r>
          </w:p>
        </w:tc>
      </w:tr>
    </w:tbl>
    <w:p>
      <w:pPr>
        <w:pStyle w:val="Heading2"/>
      </w:pPr>
      <w:r>
        <w:rPr>
          <w:color w:val="2C5577"/>
        </w:rPr>
        <w:t>7.2 Plateforme</w:t>
      </w:r>
    </w:p>
    <w:p>
      <w:pPr>
        <w:pStyle w:val="ListBullet"/>
        <w:spacing w:after="40"/>
      </w:pPr>
      <w:r>
        <w:rPr>
          <w:sz w:val="19"/>
        </w:rPr>
        <w:t>18 tables Parquet (+ raw append-only + versions/&lt;run_id&gt; par partition) ; lineage complet.</w:t>
      </w:r>
    </w:p>
    <w:p>
      <w:pPr>
        <w:pStyle w:val="ListBullet"/>
        <w:spacing w:after="40"/>
      </w:pPr>
      <w:r>
        <w:rPr>
          <w:sz w:val="19"/>
        </w:rPr>
        <w:t>85 tests automatisés verts (pricing, parité, IV, surfaces, Eq.22/23, quote filters, versioning, round-trip, callbacks du dashboard).</w:t>
      </w:r>
    </w:p>
    <w:p>
      <w:pPr>
        <w:pStyle w:val="ListBullet"/>
        <w:spacing w:after="40"/>
      </w:pPr>
      <w:r>
        <w:rPr>
          <w:sz w:val="19"/>
        </w:rPr>
        <w:t>Dashboard 12 pages, thème clair professionnel : Market Monitor (matrice de vol 51×7 cliquable, scatter niveau/pente, moniteur de dispersion Eq.23), explorateur de smiles (overlay, term structure ATM, skew RR30/BF30), surface (3D Viridis, params SVI, no-arb calendaire), greeks (grille bruts+€, lecture desk +1 %, simulateur de choc Eq.19), forward (F(T), confiance, carry), QC (réconciliations, triage), collecteur, pricing, scénarios, market data, instrument master.</w:t>
      </w:r>
    </w:p>
    <w:p>
      <w:pPr>
        <w:pStyle w:val="ListBullet"/>
        <w:spacing w:after="40"/>
      </w:pPr>
      <w:r>
        <w:rPr>
          <w:sz w:val="19"/>
        </w:rPr>
        <w:t>Dépôt GitHub CLDprog/modelisation_risque_strategie_trading à jour (branches main et jeremy, commits d7e1f88 puis 8ed615d) ; données runtime hors dépôt.</w:t>
      </w:r>
    </w:p>
    <w:p>
      <w:pPr>
        <w:pStyle w:val="ListBullet"/>
        <w:spacing w:after="40"/>
      </w:pPr>
      <w:r>
        <w:rPr>
          <w:sz w:val="19"/>
        </w:rPr>
        <w:t>Exploitation : scheduler Windows (schedule_collector.ps1), checklist handover (handover_check.py 6/6 PASS), routeur d'alertes (webhook/SMTP), escalade S1–S4, métriques par cycle.</w:t>
      </w:r>
    </w:p>
    <w:p>
      <w:pPr>
        <w:pStyle w:val="Heading2"/>
      </w:pPr>
      <w:r>
        <w:rPr>
          <w:color w:val="2C5577"/>
        </w:rPr>
        <w:t>7.3 Reste à faire (recommandations)</w:t>
      </w:r>
    </w:p>
    <w:tbl>
      <w:tblPr>
        <w:tblStyle w:val="TableGrid"/>
        <w:tblW w:type="auto" w:w="0"/>
        <w:jc w:val="center"/>
        <w:tblLook w:firstColumn="1" w:firstRow="1" w:lastColumn="0" w:lastRow="0" w:noHBand="0" w:noVBand="1" w:val="04A0"/>
      </w:tblPr>
      <w:tblGrid>
        <w:gridCol w:w="4968"/>
        <w:gridCol w:w="4968"/>
      </w:tblGrid>
      <w:tr>
        <w:tc>
          <w:tcPr>
            <w:tcW w:type="dxa" w:w="1152"/>
            <w:shd w:val="clear" w:fill="dbe7f0"/>
          </w:tcPr>
          <w:p>
            <w:r>
              <w:rPr>
                <w:b/>
                <w:sz w:val="18"/>
              </w:rPr>
              <w:t>Priorité</w:t>
            </w:r>
          </w:p>
        </w:tc>
        <w:tc>
          <w:tcPr>
            <w:tcW w:type="dxa" w:w="8784"/>
            <w:shd w:val="clear" w:fill="dbe7f0"/>
          </w:tcPr>
          <w:p>
            <w:r>
              <w:rPr>
                <w:b/>
                <w:sz w:val="18"/>
              </w:rPr>
              <w:t>Action</w:t>
            </w:r>
          </w:p>
        </w:tc>
      </w:tr>
      <w:tr>
        <w:tc>
          <w:tcPr>
            <w:tcW w:type="dxa" w:w="1152"/>
          </w:tcPr>
          <w:p>
            <w:r>
              <w:rPr>
                <w:sz w:val="18"/>
              </w:rPr>
              <w:t>1</w:t>
            </w:r>
          </w:p>
        </w:tc>
        <w:tc>
          <w:tcPr>
            <w:tcW w:type="dxa" w:w="8784"/>
          </w:tcPr>
          <w:p>
            <w:r>
              <w:rPr>
                <w:sz w:val="18"/>
              </w:rPr>
              <w:t>Démo : passer 2-3 ordres paper sur options EUREX pour peupler positions/position_risk/risk_aggregates/scenario_results (seules tables encore vides — by design).</w:t>
            </w:r>
          </w:p>
        </w:tc>
      </w:tr>
      <w:tr>
        <w:tc>
          <w:tcPr>
            <w:tcW w:type="dxa" w:w="1152"/>
          </w:tcPr>
          <w:p>
            <w:r>
              <w:rPr>
                <w:sz w:val="18"/>
              </w:rPr>
              <w:t>2</w:t>
            </w:r>
          </w:p>
        </w:tc>
        <w:tc>
          <w:tcPr>
            <w:tcW w:type="dxa" w:w="8784"/>
          </w:tcPr>
          <w:p>
            <w:r>
              <w:rPr>
                <w:sz w:val="18"/>
              </w:rPr>
              <w:t>Faire réaliser le parcours handover par un tiers (handover_check.py comme canevas) — dernier critère littéral non démontré.</w:t>
            </w:r>
          </w:p>
        </w:tc>
      </w:tr>
      <w:tr>
        <w:tc>
          <w:tcPr>
            <w:tcW w:type="dxa" w:w="1152"/>
          </w:tcPr>
          <w:p>
            <w:r>
              <w:rPr>
                <w:sz w:val="18"/>
              </w:rPr>
              <w:t>3</w:t>
            </w:r>
          </w:p>
        </w:tc>
        <w:tc>
          <w:tcPr>
            <w:tcW w:type="dxa" w:w="8784"/>
          </w:tcPr>
          <w:p>
            <w:r>
              <w:rPr>
                <w:sz w:val="18"/>
              </w:rPr>
              <w:t>Optionnel : enregistrer le scheduler Windows et renseigner webhook/SMTP pour activer la livraison d'alertes.</w:t>
            </w:r>
          </w:p>
        </w:tc>
      </w:tr>
      <w:tr>
        <w:tc>
          <w:tcPr>
            <w:tcW w:type="dxa" w:w="1152"/>
          </w:tcPr>
          <w:p>
            <w:r>
              <w:rPr>
                <w:sz w:val="18"/>
              </w:rPr>
              <w:t>4</w:t>
            </w:r>
          </w:p>
        </w:tc>
        <w:tc>
          <w:tcPr>
            <w:tcW w:type="dxa" w:w="8784"/>
          </w:tcPr>
          <w:p>
            <w:r>
              <w:rPr>
                <w:sz w:val="18"/>
              </w:rPr>
              <w:t>Évolutions : courbe ESTR, source de poids STOXX pour la dispersion, souscription Nasdaq Nordic pour NDA.</w:t>
            </w:r>
          </w:p>
        </w:tc>
      </w:tr>
    </w:tbl>
    <w:p>
      <w:pPr>
        <w:spacing w:after="40"/>
      </w:pPr>
      <w:r>
        <w:rPr>
          <w:b w:val="0"/>
          <w:i w:val="0"/>
          <w:sz w:val="20"/>
        </w:rPr>
      </w:r>
    </w:p>
    <w:p>
      <w:pPr>
        <w:spacing w:after="120"/>
      </w:pPr>
      <w:r>
        <w:rPr>
          <w:b w:val="0"/>
          <w:i/>
          <w:color w:val="6A737D"/>
          <w:sz w:val="17"/>
        </w:rPr>
        <w:t>Document généré par scripts/generate_audit_v6.py — régénérable à tout moment.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