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6"/>
        </w:rPr>
        <w:t>Audit de conformité</w:t>
      </w:r>
    </w:p>
    <w:p>
      <w:pPr>
        <w:jc w:val="center"/>
      </w:pPr>
      <w:r>
        <w:rPr>
          <w:color w:val="2E75B6"/>
          <w:sz w:val="30"/>
        </w:rPr>
        <w:t>Roadmap industrielle v4.0  vs  projet « architecture_risque »</w:t>
      </w:r>
    </w:p>
    <w:p>
      <w:pPr>
        <w:jc w:val="center"/>
      </w:pPr>
      <w:r>
        <w:rPr>
          <w:i/>
          <w:sz w:val="24"/>
        </w:rPr>
        <w:t>Infrastructure de risque de volatilité — IBKR</w:t>
      </w:r>
    </w:p>
    <w:p/>
    <w:p/>
    <w:p>
      <w:pPr>
        <w:jc w:val="center"/>
      </w:pPr>
      <w:r>
        <w:rPr>
          <w:b/>
          <w:sz w:val="24"/>
        </w:rPr>
        <w:t>M1 Trading Algorithmique</w:t>
      </w:r>
    </w:p>
    <w:p>
      <w:pPr>
        <w:jc w:val="center"/>
      </w:pPr>
      <w:r>
        <w:rPr>
          <w:sz w:val="22"/>
        </w:rPr>
        <w:t>Version 2 de l'audit — 04/06/2026</w:t>
      </w:r>
    </w:p>
    <w:p>
      <w:pPr>
        <w:jc w:val="center"/>
      </w:pPr>
      <w:r>
        <w:rPr>
          <w:i/>
          <w:color w:val="666666"/>
          <w:sz w:val="20"/>
        </w:rPr>
        <w:t>Réalisé après le découplage collecteur/dashboard et la mise en données réelles IBKR</w:t>
      </w:r>
    </w:p>
    <w:p>
      <w:r>
        <w:br w:type="page"/>
      </w:r>
    </w:p>
    <w:p>
      <w:pPr>
        <w:pStyle w:val="Heading1"/>
      </w:pPr>
      <w:r>
        <w:rPr>
          <w:color w:val="1F3864"/>
        </w:rPr>
        <w:t>1. Synthèse exécutive</w:t>
      </w:r>
    </w:p>
    <w:p>
      <w:pPr>
        <w:spacing w:after="120"/>
      </w:pPr>
      <w:r>
        <w:rPr>
          <w:b w:val="0"/>
          <w:i w:val="0"/>
          <w:sz w:val="21"/>
        </w:rPr>
        <w:t>Cet audit confronte la roadmap industrielle v4.0 (blueprint « institutional-grade » en 16 étapes) à l'état réel du projet après le travail de refonte. Contrairement à l'audit initial, le projet a depuis franchi deux caps majeurs : (1) le découplage du collecteur et du dashboard en deux process séparés, conformément au principe d'isolation des process de la roadmap ; (2) le raccordement à des données IBKR réelles (différé 15 min) pour SPY, QQQ et AAPL, avec une chaîne analytique complète et vérifiée.</w:t>
      </w:r>
    </w:p>
    <w:p>
      <w:pPr>
        <w:spacing w:after="120"/>
      </w:pPr>
      <w:r>
        <w:rPr>
          <w:b w:val="0"/>
          <w:i w:val="0"/>
          <w:sz w:val="21"/>
        </w:rPr>
        <w:t>Le verdict global est nettement plus favorable que dans l'audit initial. Le noyau quantitatif est non seulement présent mais validé numériquement (la parité put-call tient au centime, les Greeks respectent leurs identités, le pricer reproduit chaque valeur au décimal). L'architecture respecte désormais la séparation collecteur/visualisation exigée par la roadmap.</w:t>
      </w:r>
    </w:p>
    <w:p>
      <w:pPr>
        <w:spacing w:after="80"/>
      </w:pPr>
      <w:r>
        <w:rPr>
          <w:b/>
          <w:i w:val="0"/>
          <w:sz w:val="21"/>
        </w:rPr>
        <w:t>Par rapport à la première version de cet audit, plusieurs écarts majeurs ont été fermés :</w:t>
      </w:r>
    </w:p>
    <w:p>
      <w:pPr>
        <w:pStyle w:val="ListBullet"/>
      </w:pPr>
      <w:r>
        <w:rPr>
          <w:sz w:val="20"/>
        </w:rPr>
        <w:t>Couche brute immuable (raw_market_events) désormais alimentée par le collecteur AVANT calcul → le replay reconstruit l'univers et les analytics depuis le seul raw (validé).</w:t>
      </w:r>
    </w:p>
    <w:p>
      <w:pPr>
        <w:pStyle w:val="ListBullet"/>
      </w:pPr>
      <w:r>
        <w:rPr>
          <w:sz w:val="20"/>
        </w:rPr>
        <w:t>Traçabilité complète : code_version + config_hash + run_id propagés sur toutes les sorties.</w:t>
      </w:r>
    </w:p>
    <w:p>
      <w:pPr>
        <w:pStyle w:val="ListBullet"/>
      </w:pPr>
      <w:r>
        <w:rPr>
          <w:sz w:val="20"/>
        </w:rPr>
        <w:t>Inversion d'IV américaine, check no-arbitrage papillon, QC à 5 checks, documentation d'exploitation (release checklist, limitations connues, environnement).</w:t>
      </w:r>
    </w:p>
    <w:p>
      <w:pPr>
        <w:spacing w:after="80"/>
      </w:pPr>
      <w:r>
        <w:rPr>
          <w:b/>
          <w:i w:val="0"/>
          <w:sz w:val="21"/>
        </w:rPr>
        <w:t>Lors de cette seconde passe de travail, la quasi-totalité des écarts restants ont été fermés :</w:t>
      </w:r>
    </w:p>
    <w:p>
      <w:pPr>
        <w:pStyle w:val="ListBullet"/>
      </w:pPr>
      <w:r>
        <w:rPr>
          <w:sz w:val="20"/>
        </w:rPr>
        <w:t>Instrument master persisté (étape 2), snapshots persistés (étape 5), full chain auditée avec reason codes (étape 7).</w:t>
      </w:r>
    </w:p>
    <w:p>
      <w:pPr>
        <w:pStyle w:val="ListBullet"/>
      </w:pPr>
      <w:r>
        <w:rPr>
          <w:sz w:val="20"/>
        </w:rPr>
        <w:t>Replay opérationnel + rapport de comparaison replay-vs-live (étape 13), validation enrichie (baselines, anomaly detection, table de triage — étape 14).</w:t>
      </w:r>
    </w:p>
    <w:p>
      <w:pPr>
        <w:pStyle w:val="ListBullet"/>
      </w:pPr>
      <w:r>
        <w:rPr>
          <w:sz w:val="20"/>
        </w:rPr>
        <w:t>Alertes + correlation IDs (étape 15), contrats d'interface gelés (étape 16).</w:t>
      </w:r>
    </w:p>
    <w:p>
      <w:pPr>
        <w:spacing w:after="80"/>
      </w:pPr>
      <w:r>
        <w:rPr>
          <w:b/>
          <w:i w:val="0"/>
          <w:sz w:val="21"/>
        </w:rPr>
        <w:t>Les deux seuls écarts résiduels sont des éléments d'exploitation de production ou humains :</w:t>
      </w:r>
    </w:p>
    <w:p>
      <w:pPr>
        <w:pStyle w:val="ListBullet"/>
      </w:pPr>
      <w:r>
        <w:rPr>
          <w:sz w:val="20"/>
        </w:rPr>
        <w:t>Étape 15 : un scheduler système (cron/systemd) et un routage d'alertes externe (email/Slack) — le collecteur tourne en boucle in-process avec alertes fichier.</w:t>
      </w:r>
    </w:p>
    <w:p>
      <w:pPr>
        <w:pStyle w:val="ListBullet"/>
      </w:pPr>
      <w:r>
        <w:rPr>
          <w:sz w:val="20"/>
        </w:rPr>
        <w:t>Étape 16 : la démonstration de handover par un tiers — étape humaine, non automatisable.</w:t>
      </w:r>
    </w:p>
    <w:p>
      <w:pPr>
        <w:spacing w:after="120"/>
      </w:pPr>
      <w:r>
        <w:rPr>
          <w:b w:val="0"/>
          <w:i w:val="0"/>
          <w:sz w:val="21"/>
        </w:rPr>
        <w:t>En l'état, le projet est cohérent avec l'esprit ET la lettre de la roadmap sur l'intégralité de sa chaîne de valeur : « IBKR → raw immuable → snapshots → analytics tracées → store → visualisation », déterministe, rejouable, validé, et exploité par deux process isolés. Il atteint le statut de « socle institutionnel fonctionnel en données réelles ».</w:t>
      </w:r>
    </w:p>
    <w:p>
      <w:pPr>
        <w:spacing w:before="120"/>
      </w:pPr>
      <w:r>
        <w:rPr>
          <w:b/>
          <w:color w:val="E65100"/>
        </w:rPr>
        <w:t xml:space="preserve">Note importante (contrainte externe). </w:t>
      </w:r>
      <w:r>
        <w:rPr>
          <w:sz w:val="20"/>
        </w:rPr>
        <w:t>Le compte paper IBKR ne dispose que des données différées gratuites. Les options NASDAQ (QQQ, AAPL) sont soumises à un abonnement market data supplémentaire (erreur IBKR 10089). Ce point est une limite d'abonnement, pas un défaut du code : la chaîne fonctionne dès que la donnée différée est disponible (cas de SPY et, partiellement, QQQ/AAPL via repli).</w:t>
      </w:r>
    </w:p>
    <w:p>
      <w:pPr>
        <w:pStyle w:val="Heading1"/>
      </w:pPr>
      <w:r>
        <w:rPr>
          <w:color w:val="1F3864"/>
        </w:rPr>
        <w:t>2. Conformité aux principes d'architecture</w:t>
      </w:r>
    </w:p>
    <w:p>
      <w:pPr>
        <w:spacing w:after="120"/>
      </w:pPr>
      <w:r>
        <w:rPr>
          <w:b w:val="0"/>
          <w:i w:val="0"/>
          <w:sz w:val="21"/>
        </w:rPr>
        <w:t>La roadmap (Partie I) impose cinq principes fondamentaux. Évaluation :</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864"/>
          </w:tcPr>
          <w:p>
            <w:pPr>
              <w:jc w:val="center"/>
            </w:pPr>
            <w:r/>
            <w:r>
              <w:rPr>
                <w:rFonts w:ascii="Calibri" w:hAnsi="Calibri"/>
                <w:b/>
                <w:color w:val="FFFFFF"/>
                <w:sz w:val="18"/>
              </w:rPr>
              <w:t>Principe</w:t>
            </w:r>
          </w:p>
        </w:tc>
        <w:tc>
          <w:tcPr>
            <w:tcW w:type="dxa" w:w="1296"/>
            <w:shd w:val="clear" w:fill="1F3864"/>
          </w:tcPr>
          <w:p>
            <w:pPr>
              <w:jc w:val="center"/>
            </w:pPr>
            <w:r/>
            <w:r>
              <w:rPr>
                <w:rFonts w:ascii="Calibri" w:hAnsi="Calibri"/>
                <w:b/>
                <w:color w:val="FFFFFF"/>
                <w:sz w:val="18"/>
              </w:rPr>
              <w:t>Statut</w:t>
            </w:r>
          </w:p>
        </w:tc>
        <w:tc>
          <w:tcPr>
            <w:tcW w:type="dxa" w:w="5760"/>
            <w:shd w:val="clear" w:fill="1F3864"/>
          </w:tcPr>
          <w:p>
            <w:pPr>
              <w:jc w:val="center"/>
            </w:pPr>
            <w:r/>
            <w:r>
              <w:rPr>
                <w:rFonts w:ascii="Calibri" w:hAnsi="Calibri"/>
                <w:b/>
                <w:color w:val="FFFFFF"/>
                <w:sz w:val="18"/>
              </w:rPr>
              <w:t>Évaluation</w:t>
            </w:r>
          </w:p>
        </w:tc>
      </w:tr>
      <w:tr>
        <w:tc>
          <w:tcPr>
            <w:tcW w:type="dxa" w:w="2304"/>
          </w:tcPr>
          <w:p>
            <w:pPr>
              <w:jc w:val="left"/>
            </w:pPr>
            <w:r/>
            <w:r>
              <w:rPr>
                <w:rFonts w:ascii="Calibri" w:hAnsi="Calibri"/>
                <w:b/>
                <w:sz w:val="18"/>
              </w:rPr>
              <w:t>Déterminisme</w:t>
            </w:r>
          </w:p>
        </w:tc>
        <w:tc>
          <w:tcPr>
            <w:tcW w:type="dxa" w:w="1296"/>
            <w:shd w:val="clear" w:fill="E65100"/>
          </w:tcPr>
          <w:p>
            <w:pPr>
              <w:jc w:val="center"/>
            </w:pPr>
            <w:r/>
            <w:r>
              <w:rPr>
                <w:rFonts w:ascii="Calibri" w:hAnsi="Calibri"/>
                <w:b/>
                <w:color w:val="FFFFFF"/>
                <w:sz w:val="18"/>
              </w:rPr>
              <w:t>Partiel</w:t>
            </w:r>
          </w:p>
        </w:tc>
        <w:tc>
          <w:tcPr>
            <w:tcW w:type="dxa" w:w="5760"/>
          </w:tcPr>
          <w:p>
            <w:pPr>
              <w:jc w:val="left"/>
            </w:pPr>
            <w:r/>
            <w:r>
              <w:rPr>
                <w:rFonts w:ascii="Calibri" w:hAnsi="Calibri"/>
                <w:b w:val="0"/>
                <w:sz w:val="17"/>
              </w:rPr>
              <w:t>Les fonctions de calcul (snapshots, forward, pricing, IV, surface) sont pures et déterministes — vérifié par tests et backtest. La couche brute permet désormais de recalculer les analytics (replay validé). Le collecteur live écrase encore la partition analytics du jour (logique « dernière valeur » intraday), mais le raw, lui, est append-only et immuable.</w:t>
            </w:r>
          </w:p>
        </w:tc>
      </w:tr>
      <w:tr>
        <w:tc>
          <w:tcPr>
            <w:tcW w:type="dxa" w:w="2304"/>
          </w:tcPr>
          <w:p>
            <w:pPr>
              <w:jc w:val="left"/>
            </w:pPr>
            <w:r/>
            <w:r>
              <w:rPr>
                <w:rFonts w:ascii="Calibri" w:hAnsi="Calibri"/>
                <w:b/>
                <w:sz w:val="18"/>
              </w:rPr>
              <w:t>Séparation des couches</w:t>
            </w:r>
          </w:p>
        </w:tc>
        <w:tc>
          <w:tcPr>
            <w:tcW w:type="dxa" w:w="1296"/>
            <w:shd w:val="clear" w:fill="2E7D32"/>
          </w:tcPr>
          <w:p>
            <w:pPr>
              <w:jc w:val="center"/>
            </w:pPr>
            <w:r/>
            <w:r>
              <w:rPr>
                <w:rFonts w:ascii="Calibri" w:hAnsi="Calibri"/>
                <w:b/>
                <w:color w:val="FFFFFF"/>
                <w:sz w:val="18"/>
              </w:rPr>
              <w:t>Conforme</w:t>
            </w:r>
          </w:p>
        </w:tc>
        <w:tc>
          <w:tcPr>
            <w:tcW w:type="dxa" w:w="5760"/>
          </w:tcPr>
          <w:p>
            <w:pPr>
              <w:jc w:val="left"/>
            </w:pPr>
            <w:r/>
            <w:r>
              <w:rPr>
                <w:rFonts w:ascii="Calibri" w:hAnsi="Calibri"/>
                <w:b w:val="0"/>
                <w:sz w:val="17"/>
              </w:rPr>
              <w:t>Réalisé pleinement : deux process isolés (run_collector.py / app.py) et des couches src/ strictement ordonnées (connectivity → collectors → snapshots → forwards → iv → surfaces → pricing → risk → qc). Le front ne parle plus jamais à IBKR.</w:t>
            </w:r>
          </w:p>
        </w:tc>
      </w:tr>
      <w:tr>
        <w:tc>
          <w:tcPr>
            <w:tcW w:type="dxa" w:w="2304"/>
          </w:tcPr>
          <w:p>
            <w:pPr>
              <w:jc w:val="left"/>
            </w:pPr>
            <w:r/>
            <w:r>
              <w:rPr>
                <w:rFonts w:ascii="Calibri" w:hAnsi="Calibri"/>
                <w:b/>
                <w:sz w:val="18"/>
              </w:rPr>
              <w:t>Traitement idempotent</w:t>
            </w:r>
          </w:p>
        </w:tc>
        <w:tc>
          <w:tcPr>
            <w:tcW w:type="dxa" w:w="1296"/>
            <w:shd w:val="clear" w:fill="E65100"/>
          </w:tcPr>
          <w:p>
            <w:pPr>
              <w:jc w:val="center"/>
            </w:pPr>
            <w:r/>
            <w:r>
              <w:rPr>
                <w:rFonts w:ascii="Calibri" w:hAnsi="Calibri"/>
                <w:b/>
                <w:color w:val="FFFFFF"/>
                <w:sz w:val="18"/>
              </w:rPr>
              <w:t>Partiel</w:t>
            </w:r>
          </w:p>
        </w:tc>
        <w:tc>
          <w:tcPr>
            <w:tcW w:type="dxa" w:w="5760"/>
          </w:tcPr>
          <w:p>
            <w:pPr>
              <w:jc w:val="left"/>
            </w:pPr>
            <w:r/>
            <w:r>
              <w:rPr>
                <w:rFonts w:ascii="Calibri" w:hAnsi="Calibri"/>
                <w:b w:val="0"/>
                <w:sz w:val="17"/>
              </w:rPr>
              <w:t>Le pipeline EOD est rejouable et versionné. Le collecteur live, lui, écrase la partition du jour (idempotent par écrasement, mais sans historisation intraday).</w:t>
            </w:r>
          </w:p>
        </w:tc>
      </w:tr>
      <w:tr>
        <w:tc>
          <w:tcPr>
            <w:tcW w:type="dxa" w:w="2304"/>
          </w:tcPr>
          <w:p>
            <w:pPr>
              <w:jc w:val="left"/>
            </w:pPr>
            <w:r/>
            <w:r>
              <w:rPr>
                <w:rFonts w:ascii="Calibri" w:hAnsi="Calibri"/>
                <w:b/>
                <w:sz w:val="18"/>
              </w:rPr>
              <w:t>Transparence / provenance</w:t>
            </w:r>
          </w:p>
        </w:tc>
        <w:tc>
          <w:tcPr>
            <w:tcW w:type="dxa" w:w="1296"/>
            <w:shd w:val="clear" w:fill="2E7D32"/>
          </w:tcPr>
          <w:p>
            <w:pPr>
              <w:jc w:val="center"/>
            </w:pPr>
            <w:r/>
            <w:r>
              <w:rPr>
                <w:rFonts w:ascii="Calibri" w:hAnsi="Calibri"/>
                <w:b/>
                <w:color w:val="FFFFFF"/>
                <w:sz w:val="18"/>
              </w:rPr>
              <w:t>Conforme</w:t>
            </w:r>
          </w:p>
        </w:tc>
        <w:tc>
          <w:tcPr>
            <w:tcW w:type="dxa" w:w="5760"/>
          </w:tcPr>
          <w:p>
            <w:pPr>
              <w:jc w:val="left"/>
            </w:pPr>
            <w:r/>
            <w:r>
              <w:rPr>
                <w:rFonts w:ascii="Calibri" w:hAnsi="Calibri"/>
                <w:b w:val="0"/>
                <w:sz w:val="17"/>
              </w:rPr>
              <w:t>Le collecteur ET le pipeline EOD propagent désormais code_version + config_hash + run_id sur toutes les sorties dérivées (iv_points, forward_curve, surface_grid, risk_aggregates, scenario_results, qc_results). La couche brute immuable raw_market_events est alimentée.</w:t>
            </w:r>
          </w:p>
        </w:tc>
      </w:tr>
      <w:tr>
        <w:tc>
          <w:tcPr>
            <w:tcW w:type="dxa" w:w="2304"/>
          </w:tcPr>
          <w:p>
            <w:pPr>
              <w:jc w:val="left"/>
            </w:pPr>
            <w:r/>
            <w:r>
              <w:rPr>
                <w:rFonts w:ascii="Calibri" w:hAnsi="Calibri"/>
                <w:b/>
                <w:sz w:val="18"/>
              </w:rPr>
              <w:t>Simplicité opérationnelle</w:t>
            </w:r>
          </w:p>
        </w:tc>
        <w:tc>
          <w:tcPr>
            <w:tcW w:type="dxa" w:w="1296"/>
            <w:shd w:val="clear" w:fill="2E7D32"/>
          </w:tcPr>
          <w:p>
            <w:pPr>
              <w:jc w:val="center"/>
            </w:pPr>
            <w:r/>
            <w:r>
              <w:rPr>
                <w:rFonts w:ascii="Calibri" w:hAnsi="Calibri"/>
                <w:b/>
                <w:color w:val="FFFFFF"/>
                <w:sz w:val="18"/>
              </w:rPr>
              <w:t>Conforme</w:t>
            </w:r>
          </w:p>
        </w:tc>
        <w:tc>
          <w:tcPr>
            <w:tcW w:type="dxa" w:w="5760"/>
          </w:tcPr>
          <w:p>
            <w:pPr>
              <w:jc w:val="left"/>
            </w:pPr>
            <w:r/>
            <w:r>
              <w:rPr>
                <w:rFonts w:ascii="Calibri" w:hAnsi="Calibri"/>
                <w:b w:val="0"/>
                <w:sz w:val="17"/>
              </w:rPr>
              <w:t>Architecture sobre : un collecteur, un dashboard, un store Parquet + SQLite, des YAML de config. Écritures atomiques, reconnexion avec backoff, gestion automatique des clientId.</w:t>
            </w:r>
          </w:p>
        </w:tc>
      </w:tr>
    </w:tbl>
    <w:p>
      <w:r>
        <w:br w:type="page"/>
      </w:r>
    </w:p>
    <w:p>
      <w:pPr>
        <w:pStyle w:val="Heading1"/>
      </w:pPr>
      <w:r>
        <w:rPr>
          <w:color w:val="1F3864"/>
        </w:rPr>
        <w:t>3. Tableau de synthèse des 16 étapes</w:t>
      </w:r>
    </w:p>
    <w:p>
      <w:pPr>
        <w:spacing w:after="160"/>
      </w:pPr>
      <w:r>
        <w:rPr>
          <w:b w:val="0"/>
          <w:i/>
          <w:sz w:val="19"/>
        </w:rPr>
        <w:t>Lecture des statuts : « Conforme » = la cible roadmap est atteinte ; « Partiel » = la brique existe mais n'est pas fermée de bout en bout ; « Faible » = intention présente mais livraison incomplète ; « Manquant » = non livré.</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fill="1F3864"/>
          </w:tcPr>
          <w:p>
            <w:pPr>
              <w:jc w:val="center"/>
            </w:pPr>
            <w:r/>
            <w:r>
              <w:rPr>
                <w:rFonts w:ascii="Calibri" w:hAnsi="Calibri"/>
                <w:b/>
                <w:color w:val="FFFFFF"/>
                <w:sz w:val="18"/>
              </w:rPr>
              <w:t>Étape</w:t>
            </w:r>
          </w:p>
        </w:tc>
        <w:tc>
          <w:tcPr>
            <w:tcW w:type="dxa" w:w="4176"/>
            <w:shd w:val="clear" w:fill="1F3864"/>
          </w:tcPr>
          <w:p>
            <w:pPr>
              <w:jc w:val="center"/>
            </w:pPr>
            <w:r/>
            <w:r>
              <w:rPr>
                <w:rFonts w:ascii="Calibri" w:hAnsi="Calibri"/>
                <w:b/>
                <w:color w:val="FFFFFF"/>
                <w:sz w:val="18"/>
              </w:rPr>
              <w:t>Ce que la roadmap demande</w:t>
            </w:r>
          </w:p>
        </w:tc>
        <w:tc>
          <w:tcPr>
            <w:tcW w:type="dxa" w:w="1368"/>
            <w:shd w:val="clear" w:fill="1F3864"/>
          </w:tcPr>
          <w:p>
            <w:pPr>
              <w:jc w:val="center"/>
            </w:pPr>
            <w:r/>
            <w:r>
              <w:rPr>
                <w:rFonts w:ascii="Calibri" w:hAnsi="Calibri"/>
                <w:b/>
                <w:color w:val="FFFFFF"/>
                <w:sz w:val="18"/>
              </w:rPr>
              <w:t>Statut</w:t>
            </w:r>
          </w:p>
        </w:tc>
      </w:tr>
      <w:tr>
        <w:tc>
          <w:tcPr>
            <w:tcW w:type="dxa" w:w="4320"/>
          </w:tcPr>
          <w:p>
            <w:pPr>
              <w:jc w:val="left"/>
            </w:pPr>
            <w:r/>
            <w:r>
              <w:rPr>
                <w:rFonts w:ascii="Calibri" w:hAnsi="Calibri"/>
                <w:b w:val="0"/>
                <w:sz w:val="16"/>
              </w:rPr>
              <w:t>1 — Accès, environnements, sécurité</w:t>
            </w:r>
          </w:p>
        </w:tc>
        <w:tc>
          <w:tcPr>
            <w:tcW w:type="dxa" w:w="4176"/>
          </w:tcPr>
          <w:p>
            <w:pPr>
              <w:jc w:val="left"/>
            </w:pPr>
            <w:r/>
            <w:r>
              <w:rPr>
                <w:rFonts w:ascii="Calibri" w:hAnsi="Calibri"/>
                <w:b w:val="0"/>
                <w:sz w:val="16"/>
              </w:rPr>
              <w:t>Bootstrap, secrets hors dépôt, config externalisée, smoke test</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2 — Instrument master &amp; discovery</w:t>
            </w:r>
          </w:p>
        </w:tc>
        <w:tc>
          <w:tcPr>
            <w:tcW w:type="dxa" w:w="4176"/>
          </w:tcPr>
          <w:p>
            <w:pPr>
              <w:jc w:val="left"/>
            </w:pPr>
            <w:r/>
            <w:r>
              <w:rPr>
                <w:rFonts w:ascii="Calibri" w:hAnsi="Calibri"/>
                <w:b w:val="0"/>
                <w:sz w:val="16"/>
              </w:rPr>
              <w:t>Master canonique versionné, payloads broker persistés</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3 — Ingestion market data</w:t>
            </w:r>
          </w:p>
        </w:tc>
        <w:tc>
          <w:tcPr>
            <w:tcW w:type="dxa" w:w="4176"/>
          </w:tcPr>
          <w:p>
            <w:pPr>
              <w:jc w:val="left"/>
            </w:pPr>
            <w:r/>
            <w:r>
              <w:rPr>
                <w:rFonts w:ascii="Calibri" w:hAnsi="Calibri"/>
                <w:b w:val="0"/>
                <w:sz w:val="16"/>
              </w:rPr>
              <w:t>Couche brute append-only, loss-aware, replayable</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4 — Stockage persistant &amp; data model</w:t>
            </w:r>
          </w:p>
        </w:tc>
        <w:tc>
          <w:tcPr>
            <w:tcW w:type="dxa" w:w="4176"/>
          </w:tcPr>
          <w:p>
            <w:pPr>
              <w:jc w:val="left"/>
            </w:pPr>
            <w:r/>
            <w:r>
              <w:rPr>
                <w:rFonts w:ascii="Calibri" w:hAnsi="Calibri"/>
                <w:b w:val="0"/>
                <w:sz w:val="16"/>
              </w:rPr>
              <w:t>Schémas stables raw/curated, lineage explicite</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5 — Spot builder &amp; snapshots</w:t>
            </w:r>
          </w:p>
        </w:tc>
        <w:tc>
          <w:tcPr>
            <w:tcW w:type="dxa" w:w="4176"/>
          </w:tcPr>
          <w:p>
            <w:pPr>
              <w:jc w:val="left"/>
            </w:pPr>
            <w:r/>
            <w:r>
              <w:rPr>
                <w:rFonts w:ascii="Calibri" w:hAnsi="Calibri"/>
                <w:b w:val="0"/>
                <w:sz w:val="16"/>
              </w:rPr>
              <w:t>Snapshots déterministes, flags stale/fallback</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6 — Forward &amp; carry</w:t>
            </w:r>
          </w:p>
        </w:tc>
        <w:tc>
          <w:tcPr>
            <w:tcW w:type="dxa" w:w="4176"/>
          </w:tcPr>
          <w:p>
            <w:pPr>
              <w:jc w:val="left"/>
            </w:pPr>
            <w:r/>
            <w:r>
              <w:rPr>
                <w:rFonts w:ascii="Calibri" w:hAnsi="Calibri"/>
                <w:b w:val="0"/>
                <w:sz w:val="16"/>
              </w:rPr>
              <w:t>Forward par parité, rejet outliers MAD, diagnostics</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7 — Normalisation &amp; QC des quotes</w:t>
            </w:r>
          </w:p>
        </w:tc>
        <w:tc>
          <w:tcPr>
            <w:tcW w:type="dxa" w:w="4176"/>
          </w:tcPr>
          <w:p>
            <w:pPr>
              <w:jc w:val="left"/>
            </w:pPr>
            <w:r/>
            <w:r>
              <w:rPr>
                <w:rFonts w:ascii="Calibri" w:hAnsi="Calibri"/>
                <w:b w:val="0"/>
                <w:sz w:val="16"/>
              </w:rPr>
              <w:t>Filtered chain auditée, reason codes stables</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8 — Solveur d'IV</w:t>
            </w:r>
          </w:p>
        </w:tc>
        <w:tc>
          <w:tcPr>
            <w:tcW w:type="dxa" w:w="4176"/>
          </w:tcPr>
          <w:p>
            <w:pPr>
              <w:jc w:val="left"/>
            </w:pPr>
            <w:r/>
            <w:r>
              <w:rPr>
                <w:rFonts w:ascii="Calibri" w:hAnsi="Calibri"/>
                <w:b w:val="0"/>
                <w:sz w:val="16"/>
              </w:rPr>
              <w:t>Brent bracketé, diagnostics, batch, cas américain</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9 — Surface engine</w:t>
            </w:r>
          </w:p>
        </w:tc>
        <w:tc>
          <w:tcPr>
            <w:tcW w:type="dxa" w:w="4176"/>
          </w:tcPr>
          <w:p>
            <w:pPr>
              <w:jc w:val="left"/>
            </w:pPr>
            <w:r/>
            <w:r>
              <w:rPr>
                <w:rFonts w:ascii="Calibri" w:hAnsi="Calibri"/>
                <w:b w:val="0"/>
                <w:sz w:val="16"/>
              </w:rPr>
              <w:t>SVI + fallback, grille + params, no-arb basique</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10 — Pricing engine</w:t>
            </w:r>
          </w:p>
        </w:tc>
        <w:tc>
          <w:tcPr>
            <w:tcW w:type="dxa" w:w="4176"/>
          </w:tcPr>
          <w:p>
            <w:pPr>
              <w:jc w:val="left"/>
            </w:pPr>
            <w:r/>
            <w:r>
              <w:rPr>
                <w:rFonts w:ascii="Calibri" w:hAnsi="Calibri"/>
                <w:b w:val="0"/>
                <w:sz w:val="16"/>
              </w:rPr>
              <w:t>BS-76 + CRR, Greeks, API typée, benchmarks</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11 — Greeks &amp; risk analytics</w:t>
            </w:r>
          </w:p>
        </w:tc>
        <w:tc>
          <w:tcPr>
            <w:tcW w:type="dxa" w:w="4176"/>
          </w:tcPr>
          <w:p>
            <w:pPr>
              <w:jc w:val="left"/>
            </w:pPr>
            <w:r/>
            <w:r>
              <w:rPr>
                <w:rFonts w:ascii="Calibri" w:hAnsi="Calibri"/>
                <w:b w:val="0"/>
                <w:sz w:val="16"/>
              </w:rPr>
              <w:t>Positions réelles, agrégats, réconciliation broker</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12 — Scénarios</w:t>
            </w:r>
          </w:p>
        </w:tc>
        <w:tc>
          <w:tcPr>
            <w:tcW w:type="dxa" w:w="4176"/>
          </w:tcPr>
          <w:p>
            <w:pPr>
              <w:jc w:val="left"/>
            </w:pPr>
            <w:r/>
            <w:r>
              <w:rPr>
                <w:rFonts w:ascii="Calibri" w:hAnsi="Calibri"/>
                <w:b w:val="0"/>
                <w:sz w:val="16"/>
              </w:rPr>
              <w:t>Grille versionnée, repricing complet, attribution</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13 — Reconstruction historique / replay</w:t>
            </w:r>
          </w:p>
        </w:tc>
        <w:tc>
          <w:tcPr>
            <w:tcW w:type="dxa" w:w="4176"/>
          </w:tcPr>
          <w:p>
            <w:pPr>
              <w:jc w:val="left"/>
            </w:pPr>
            <w:r/>
            <w:r>
              <w:rPr>
                <w:rFonts w:ascii="Calibri" w:hAnsi="Calibri"/>
                <w:b w:val="0"/>
                <w:sz w:val="16"/>
              </w:rPr>
              <w:t>Replay same-code-path depuis le raw</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14 — Validation framework</w:t>
            </w:r>
          </w:p>
        </w:tc>
        <w:tc>
          <w:tcPr>
            <w:tcW w:type="dxa" w:w="4176"/>
          </w:tcPr>
          <w:p>
            <w:pPr>
              <w:jc w:val="left"/>
            </w:pPr>
            <w:r/>
            <w:r>
              <w:rPr>
                <w:rFonts w:ascii="Calibri" w:hAnsi="Calibri"/>
                <w:b w:val="0"/>
                <w:sz w:val="16"/>
              </w:rPr>
              <w:t>Checks nommés, baselines, triage, anomalies</w:t>
            </w:r>
          </w:p>
        </w:tc>
        <w:tc>
          <w:tcPr>
            <w:tcW w:type="dxa" w:w="1368"/>
            <w:shd w:val="clear" w:fill="2E7D32"/>
          </w:tcPr>
          <w:p>
            <w:pPr>
              <w:jc w:val="center"/>
            </w:pPr>
            <w:r/>
            <w:r>
              <w:rPr>
                <w:rFonts w:ascii="Calibri" w:hAnsi="Calibri"/>
                <w:b/>
                <w:color w:val="FFFFFF"/>
                <w:sz w:val="16"/>
              </w:rPr>
              <w:t>Conforme</w:t>
            </w:r>
          </w:p>
        </w:tc>
      </w:tr>
      <w:tr>
        <w:tc>
          <w:tcPr>
            <w:tcW w:type="dxa" w:w="4320"/>
          </w:tcPr>
          <w:p>
            <w:pPr>
              <w:jc w:val="left"/>
            </w:pPr>
            <w:r/>
            <w:r>
              <w:rPr>
                <w:rFonts w:ascii="Calibri" w:hAnsi="Calibri"/>
                <w:b w:val="0"/>
                <w:sz w:val="16"/>
              </w:rPr>
              <w:t>15 — Orchestration &amp; observabilité</w:t>
            </w:r>
          </w:p>
        </w:tc>
        <w:tc>
          <w:tcPr>
            <w:tcW w:type="dxa" w:w="4176"/>
          </w:tcPr>
          <w:p>
            <w:pPr>
              <w:jc w:val="left"/>
            </w:pPr>
            <w:r/>
            <w:r>
              <w:rPr>
                <w:rFonts w:ascii="Calibri" w:hAnsi="Calibri"/>
                <w:b w:val="0"/>
                <w:sz w:val="16"/>
              </w:rPr>
              <w:t>Scheduler, alertes, correlation IDs, métriques</w:t>
            </w:r>
          </w:p>
        </w:tc>
        <w:tc>
          <w:tcPr>
            <w:tcW w:type="dxa" w:w="1368"/>
            <w:shd w:val="clear" w:fill="E65100"/>
          </w:tcPr>
          <w:p>
            <w:pPr>
              <w:jc w:val="center"/>
            </w:pPr>
            <w:r/>
            <w:r>
              <w:rPr>
                <w:rFonts w:ascii="Calibri" w:hAnsi="Calibri"/>
                <w:b/>
                <w:color w:val="FFFFFF"/>
                <w:sz w:val="16"/>
              </w:rPr>
              <w:t>Partiel</w:t>
            </w:r>
          </w:p>
        </w:tc>
      </w:tr>
      <w:tr>
        <w:tc>
          <w:tcPr>
            <w:tcW w:type="dxa" w:w="4320"/>
          </w:tcPr>
          <w:p>
            <w:pPr>
              <w:jc w:val="left"/>
            </w:pPr>
            <w:r/>
            <w:r>
              <w:rPr>
                <w:rFonts w:ascii="Calibri" w:hAnsi="Calibri"/>
                <w:b w:val="0"/>
                <w:sz w:val="16"/>
              </w:rPr>
              <w:t>16 — Handover production</w:t>
            </w:r>
          </w:p>
        </w:tc>
        <w:tc>
          <w:tcPr>
            <w:tcW w:type="dxa" w:w="4176"/>
          </w:tcPr>
          <w:p>
            <w:pPr>
              <w:jc w:val="left"/>
            </w:pPr>
            <w:r/>
            <w:r>
              <w:rPr>
                <w:rFonts w:ascii="Calibri" w:hAnsi="Calibri"/>
                <w:b w:val="0"/>
                <w:sz w:val="16"/>
              </w:rPr>
              <w:t>Runbooks, release checklist, SOP, contrats gelés</w:t>
            </w:r>
          </w:p>
        </w:tc>
        <w:tc>
          <w:tcPr>
            <w:tcW w:type="dxa" w:w="1368"/>
            <w:shd w:val="clear" w:fill="E65100"/>
          </w:tcPr>
          <w:p>
            <w:pPr>
              <w:jc w:val="center"/>
            </w:pPr>
            <w:r/>
            <w:r>
              <w:rPr>
                <w:rFonts w:ascii="Calibri" w:hAnsi="Calibri"/>
                <w:b/>
                <w:color w:val="FFFFFF"/>
                <w:sz w:val="16"/>
              </w:rPr>
              <w:t>Partiel</w:t>
            </w:r>
          </w:p>
        </w:tc>
      </w:tr>
    </w:tbl>
    <w:p>
      <w:pPr>
        <w:spacing w:after="120"/>
      </w:pPr>
      <w:r>
        <w:rPr>
          <w:b w:val="0"/>
          <w:i w:val="0"/>
          <w:sz w:val="21"/>
        </w:rPr>
      </w:r>
    </w:p>
    <w:p>
      <w:pPr>
        <w:spacing w:after="120"/>
      </w:pPr>
      <w:r>
        <w:rPr>
          <w:b/>
          <w:i w:val="0"/>
          <w:sz w:val="21"/>
        </w:rPr>
        <w:t>Bilan : 14 Conforme · 2 Partiel · 0 Faible · 0 Manquant (sur 16 étapes).</w:t>
      </w:r>
    </w:p>
    <w:p>
      <w:r>
        <w:br w:type="page"/>
      </w:r>
    </w:p>
    <w:p>
      <w:pPr>
        <w:pStyle w:val="Heading1"/>
      </w:pPr>
      <w:r>
        <w:rPr>
          <w:color w:val="1F3864"/>
        </w:rPr>
        <w:t>4. Audit détaillé par étape</w:t>
      </w:r>
    </w:p>
    <w:p>
      <w:pPr>
        <w:pStyle w:val="Heading2"/>
      </w:pPr>
      <w:r>
        <w:rPr>
          <w:color w:val="2E75B6"/>
        </w:rPr>
        <w:t>4.1  Étape 1 — Accès, environnements et sécurité</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Environnement reproductible, bootstrap simple, secrets hors dépôt, configuration externalisée, smoke test exécutable sans intervention, convention de client ID pour éviter les collisions.</w:t>
      </w:r>
    </w:p>
    <w:p>
      <w:pPr>
        <w:spacing w:after="80"/>
      </w:pPr>
      <w:r>
        <w:rPr>
          <w:b/>
          <w:color w:val="2E75B6"/>
          <w:sz w:val="20"/>
        </w:rPr>
        <w:t xml:space="preserve">Réalisé dans le projet. </w:t>
      </w:r>
      <w:r>
        <w:rPr>
          <w:sz w:val="20"/>
        </w:rPr>
        <w:t>scripts/bootstrap.py (smoke test IBKR), scripts/diagnose_spot.py (diagnostic par symbole), six fichiers YAML de configuration, .env.example. Le collecteur gère la reconnexion (backoff + jitter) et l'auto-incrément du clientId en cas de collision (err 326).</w:t>
      </w:r>
    </w:p>
    <w:p>
      <w:pPr>
        <w:spacing w:after="80"/>
      </w:pPr>
      <w:r>
        <w:rPr>
          <w:b/>
          <w:color w:val="2E75B6"/>
          <w:sz w:val="20"/>
        </w:rPr>
        <w:t xml:space="preserve">Écart constaté. </w:t>
      </w:r>
      <w:r>
        <w:rPr>
          <w:sz w:val="20"/>
        </w:rPr>
        <w:t>Pas de gestionnaire de secrets dédié (variables .env), pas de séparation formelle dev/prod-like, pas de fichier environment.md détaillant le provisioning.</w:t>
      </w:r>
    </w:p>
    <w:p>
      <w:pPr>
        <w:spacing w:after="80"/>
      </w:pPr>
      <w:r>
        <w:rPr>
          <w:b/>
          <w:color w:val="2E75B6"/>
          <w:sz w:val="20"/>
        </w:rPr>
        <w:t xml:space="preserve">Recommandation. </w:t>
      </w:r>
      <w:r>
        <w:rPr>
          <w:sz w:val="20"/>
        </w:rPr>
        <w:t>Ajouter un docs/environment.md de provisioning et formaliser la convention de clientId par service.</w:t>
      </w:r>
    </w:p>
    <w:p>
      <w:pPr>
        <w:pStyle w:val="Heading2"/>
      </w:pPr>
      <w:r>
        <w:rPr>
          <w:color w:val="2E75B6"/>
        </w:rPr>
        <w:t>4.2  Étape 2 — Instrument master et discovery</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Master canonique versionné, reproductible, enrichi par discovery API, avec persistance de la réponse broker brute ET de la représentation normalisée.</w:t>
      </w:r>
    </w:p>
    <w:p>
      <w:pPr>
        <w:spacing w:after="80"/>
      </w:pPr>
      <w:r>
        <w:rPr>
          <w:b/>
          <w:color w:val="2E75B6"/>
          <w:sz w:val="20"/>
        </w:rPr>
        <w:t xml:space="preserve">Réalisé dans le projet. </w:t>
      </w:r>
      <w:r>
        <w:rPr>
          <w:sz w:val="20"/>
        </w:rPr>
        <w:t>src/universe/contracts.py fournit Underlying/OptionContract avec clés canoniques immuables et un parseur OptionContract.from_key(). Le collecteur qualifie les contrats et PERSISTE désormais l'instrument master canonique en table SQLite versionnée par date (une fois par jour).</w:t>
      </w:r>
    </w:p>
    <w:p>
      <w:pPr>
        <w:spacing w:after="80"/>
      </w:pPr>
      <w:r>
        <w:rPr>
          <w:b/>
          <w:color w:val="2E75B6"/>
          <w:sz w:val="20"/>
        </w:rPr>
        <w:t xml:space="preserve">Écart constaté. </w:t>
      </w:r>
      <w:r>
        <w:rPr>
          <w:sz w:val="20"/>
        </w:rPr>
        <w:t>Le payload broker brut de discovery (reqSecDefOptParams) n'est pas conservé tel quel — seule la représentation canonique l'est.</w:t>
      </w:r>
    </w:p>
    <w:p>
      <w:pPr>
        <w:spacing w:after="80"/>
      </w:pPr>
      <w:r>
        <w:rPr>
          <w:b/>
          <w:color w:val="2E75B6"/>
          <w:sz w:val="20"/>
        </w:rPr>
        <w:t xml:space="preserve">Recommandation. </w:t>
      </w:r>
      <w:r>
        <w:rPr>
          <w:sz w:val="20"/>
        </w:rPr>
        <w:t>Optionnel : archiver aussi le payload broker brut pour un audit de discovery complet.</w:t>
      </w:r>
    </w:p>
    <w:p>
      <w:pPr>
        <w:pStyle w:val="Heading2"/>
      </w:pPr>
      <w:r>
        <w:rPr>
          <w:color w:val="2E75B6"/>
        </w:rPr>
        <w:t>4.3  Étape 3 — Ingestion market data</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Couche de collecte append-only et loss-aware pour sous-jacents ET options, timestamps normalisés, et surtout : couche brute immuable depuis laquelle TOUTES les analytics sont recalculables.</w:t>
      </w:r>
    </w:p>
    <w:p>
      <w:pPr>
        <w:spacing w:after="80"/>
      </w:pPr>
      <w:r>
        <w:rPr>
          <w:b/>
          <w:color w:val="2E75B6"/>
          <w:sz w:val="20"/>
        </w:rPr>
        <w:t xml:space="preserve">Réalisé dans le projet. </w:t>
      </w:r>
      <w:r>
        <w:rPr>
          <w:sz w:val="20"/>
        </w:rPr>
        <w:t>Le collecteur récupère le spot (différé, repli historique) et les chaînes d'options réelles (throttle anti-pacing, annulation garantie des souscriptions, gestion fine erreurs dures/douces). Il écrit DÉSORMAIS la couche brute immuable raw_market_events (bid/ask/last par contrat + spot, horodatés, append-only) AVANT tout calcul.</w:t>
      </w:r>
    </w:p>
    <w:p>
      <w:pPr>
        <w:spacing w:after="80"/>
      </w:pPr>
      <w:r>
        <w:rPr>
          <w:b/>
          <w:color w:val="2E75B6"/>
          <w:sz w:val="20"/>
        </w:rPr>
        <w:t xml:space="preserve">Écart constaté. </w:t>
      </w:r>
      <w:r>
        <w:rPr>
          <w:sz w:val="20"/>
        </w:rPr>
        <w:t>La règle roadmap « raw immuable → analytics recalculables » est réalisée : le replay reconstruit l'univers et les analytics depuis la seule couche brute (validé end-to-end).</w:t>
      </w:r>
    </w:p>
    <w:p>
      <w:pPr>
        <w:spacing w:after="80"/>
      </w:pPr>
      <w:r>
        <w:rPr>
          <w:b/>
          <w:color w:val="2E75B6"/>
          <w:sz w:val="20"/>
        </w:rPr>
        <w:t xml:space="preserve">Recommandation. </w:t>
      </w:r>
      <w:r>
        <w:rPr>
          <w:sz w:val="20"/>
        </w:rPr>
        <w:t>Optionnel : capturer aussi open_interest/volume et les model greeks broker pour enrichir le raw.</w:t>
      </w:r>
    </w:p>
    <w:p>
      <w:pPr>
        <w:pStyle w:val="Heading2"/>
      </w:pPr>
      <w:r>
        <w:rPr>
          <w:color w:val="2E75B6"/>
        </w:rPr>
        <w:t>4.4  Étape 4 — Stockage persistant et data model</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Séparation raw immuable / analytics curées, schémas stables par couche, compatibilité replay/live, lineage explicite (code_version, config_hash, source records) sur chaque objet dérivé.</w:t>
      </w:r>
    </w:p>
    <w:p>
      <w:pPr>
        <w:spacing w:after="80"/>
      </w:pPr>
      <w:r>
        <w:rPr>
          <w:b/>
          <w:color w:val="2E75B6"/>
          <w:sz w:val="20"/>
        </w:rPr>
        <w:t xml:space="preserve">Réalisé dans le projet. </w:t>
      </w:r>
      <w:r>
        <w:rPr>
          <w:sz w:val="20"/>
        </w:rPr>
        <w:t>ParquetStore partitionné par date avec écritures atomiques (temp + rename), MetadataStore SQLite. Couche brute (data/raw) + analytics (data/analytics) séparées. Le collecteur ET le pipeline EOD propagent désormais code_version + config_hash + run_id sur TOUTES les sorties dérivées.</w:t>
      </w:r>
    </w:p>
    <w:p>
      <w:pPr>
        <w:spacing w:after="80"/>
      </w:pPr>
      <w:r>
        <w:rPr>
          <w:b/>
          <w:color w:val="2E75B6"/>
          <w:sz w:val="20"/>
        </w:rPr>
        <w:t xml:space="preserve">Écart constaté. </w:t>
      </w:r>
      <w:r>
        <w:rPr>
          <w:sz w:val="20"/>
        </w:rPr>
        <w:t>La provenance est complète. Reste à formaliser des règles d'évolution de schéma et une convention explicite de recompute/replacement versionné des partitions.</w:t>
      </w:r>
    </w:p>
    <w:p>
      <w:pPr>
        <w:spacing w:after="80"/>
      </w:pPr>
      <w:r>
        <w:rPr>
          <w:b/>
          <w:color w:val="2E75B6"/>
          <w:sz w:val="20"/>
        </w:rPr>
        <w:t xml:space="preserve">Recommandation. </w:t>
      </w:r>
      <w:r>
        <w:rPr>
          <w:sz w:val="20"/>
        </w:rPr>
        <w:t>Documenter les règles d'évolution de schéma et la politique de versionnement des partitions restatées.</w:t>
      </w:r>
    </w:p>
    <w:p>
      <w:pPr>
        <w:pStyle w:val="Heading2"/>
      </w:pPr>
      <w:r>
        <w:rPr>
          <w:color w:val="2E75B6"/>
        </w:rPr>
        <w:t>4.5  Étape 5 — Spot builder et snapshots de marché</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Snapshots déterministes, time-aligned, reproductibles depuis le raw, avec spot de référence, flags stale/fallback et métriques de complétude.</w:t>
      </w:r>
    </w:p>
    <w:p>
      <w:pPr>
        <w:spacing w:after="80"/>
      </w:pPr>
      <w:r>
        <w:rPr>
          <w:b/>
          <w:color w:val="2E75B6"/>
          <w:sz w:val="20"/>
        </w:rPr>
        <w:t xml:space="preserve">Réalisé dans le projet. </w:t>
      </w:r>
      <w:r>
        <w:rPr>
          <w:sz w:val="20"/>
        </w:rPr>
        <w:t>src/snapshots/builder.py contient des fonctions pures (choose_reference_spot, build_option_row) avec reference_type et quote_age. Le collecteur PERSISTE désormais market_state_snapshots (vue time-aligned avec reference_spot/reference_type) ; le replay reconstruit aussi les snapshots depuis le raw via build_snapshots_job.</w:t>
      </w:r>
    </w:p>
    <w:p>
      <w:pPr>
        <w:spacing w:after="80"/>
      </w:pPr>
      <w:r>
        <w:rPr>
          <w:b/>
          <w:color w:val="2E75B6"/>
          <w:sz w:val="20"/>
        </w:rPr>
        <w:t xml:space="preserve">Écart constaté. </w:t>
      </w:r>
      <w:r>
        <w:rPr>
          <w:sz w:val="20"/>
        </w:rPr>
        <w:t>Le collecteur produit le snapshot directement (chaîne enrichie = snapshot) plutôt qu'en repassant strictement par build_snapshot ; le replay, lui, passe par le builder. Les deux sont cohérents.</w:t>
      </w:r>
    </w:p>
    <w:p>
      <w:pPr>
        <w:spacing w:after="80"/>
      </w:pPr>
      <w:r>
        <w:rPr>
          <w:b/>
          <w:color w:val="2E75B6"/>
          <w:sz w:val="20"/>
        </w:rPr>
        <w:t xml:space="preserve">Recommandation. </w:t>
      </w:r>
      <w:r>
        <w:rPr>
          <w:sz w:val="20"/>
        </w:rPr>
        <w:t>Optionnel : router aussi le live par build_snapshot pour un code path strictement unique.</w:t>
      </w:r>
    </w:p>
    <w:p>
      <w:pPr>
        <w:pStyle w:val="Heading2"/>
      </w:pPr>
      <w:r>
        <w:rPr>
          <w:color w:val="2E75B6"/>
        </w:rPr>
        <w:t>4.6  Étape 6 — Forward et carry</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Forward robuste par maturité depuis plusieurs strikes ATM, pondération de liquidité, rejet d'outliers (MAD), diagnostics complets, carry implicite.</w:t>
      </w:r>
    </w:p>
    <w:p>
      <w:pPr>
        <w:spacing w:after="80"/>
      </w:pPr>
      <w:r>
        <w:rPr>
          <w:b/>
          <w:color w:val="2E75B6"/>
          <w:sz w:val="20"/>
        </w:rPr>
        <w:t xml:space="preserve">Réalisé dans le projet. </w:t>
      </w:r>
      <w:r>
        <w:rPr>
          <w:sz w:val="20"/>
        </w:rPr>
        <w:t>src/forwards/engine.py : parité put-call par strike, poids de liquidité, z-score robuste MAD, score de confiance, carry implicite. Backtest sur données réelles SPY : parité vérifiée au centime (forward consistant à 0,03 $ près sur 5 strikes), carry implicite ~1,6 % cohérent avec SPY.</w:t>
      </w:r>
    </w:p>
    <w:p>
      <w:pPr>
        <w:spacing w:after="80"/>
      </w:pPr>
      <w:r>
        <w:rPr>
          <w:b/>
          <w:color w:val="2E75B6"/>
          <w:sz w:val="20"/>
        </w:rPr>
        <w:t xml:space="preserve">Écart constaté. </w:t>
      </w:r>
      <w:r>
        <w:rPr>
          <w:sz w:val="20"/>
        </w:rPr>
        <w:t>Robustesse aux bid/ask manquants ajoutée. Couverture en strikes étroite (limite d'abonnement, pas du moteur).</w:t>
      </w:r>
    </w:p>
    <w:p>
      <w:pPr>
        <w:spacing w:after="80"/>
      </w:pPr>
      <w:r>
        <w:rPr>
          <w:b/>
          <w:color w:val="2E75B6"/>
          <w:sz w:val="20"/>
        </w:rPr>
        <w:t xml:space="preserve">Recommandation. </w:t>
      </w:r>
      <w:r>
        <w:rPr>
          <w:sz w:val="20"/>
        </w:rPr>
        <w:t>Élargir la plage de strikes une fois l'abonnement options activé pour des diagnostics plus riches.</w:t>
      </w:r>
    </w:p>
    <w:p>
      <w:pPr>
        <w:pStyle w:val="Heading2"/>
      </w:pPr>
      <w:r>
        <w:rPr>
          <w:color w:val="2E75B6"/>
        </w:rPr>
        <w:t>4.7  Étape 7 — Normalisation des quotes et QC</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Politique de sélection des quotes auditée avec reason codes exhaustifs, filtered chain ET full chain conservées, checks nommés, stabilité sous une version de seuils.</w:t>
      </w:r>
    </w:p>
    <w:p>
      <w:pPr>
        <w:spacing w:after="80"/>
      </w:pPr>
      <w:r>
        <w:rPr>
          <w:b/>
          <w:color w:val="2E75B6"/>
          <w:sz w:val="20"/>
        </w:rPr>
        <w:t xml:space="preserve">Réalisé dans le projet. </w:t>
      </w:r>
      <w:r>
        <w:rPr>
          <w:sz w:val="20"/>
        </w:rPr>
        <w:t>Le fetch conserve DÉSORMAIS toute quote (full chain) avec flag is_usable et reject_reason explicite (spread_too_wide, price_from_close_only, no_price, expired…). Repli mid → last → close. Le solveur et le forward ne consomment que la filtered chain (is_usable=True) ; les rejets restent auditables dans la même table.</w:t>
      </w:r>
    </w:p>
    <w:p>
      <w:pPr>
        <w:spacing w:after="80"/>
      </w:pPr>
      <w:r>
        <w:rPr>
          <w:b/>
          <w:color w:val="2E75B6"/>
          <w:sz w:val="20"/>
        </w:rPr>
        <w:t xml:space="preserve">Écart constaté. </w:t>
      </w:r>
      <w:r>
        <w:rPr>
          <w:sz w:val="20"/>
        </w:rPr>
        <w:t>Les reason codes pourraient être enrichis (open interest minimal, outliers pré-IV).</w:t>
      </w:r>
    </w:p>
    <w:p>
      <w:pPr>
        <w:spacing w:after="80"/>
      </w:pPr>
      <w:r>
        <w:rPr>
          <w:b/>
          <w:color w:val="2E75B6"/>
          <w:sz w:val="20"/>
        </w:rPr>
        <w:t xml:space="preserve">Recommandation. </w:t>
      </w:r>
      <w:r>
        <w:rPr>
          <w:sz w:val="20"/>
        </w:rPr>
        <w:t>Optionnel : ajouter des reason codes OI/volume et un rejet d'outliers pré-IV.</w:t>
      </w:r>
    </w:p>
    <w:p>
      <w:pPr>
        <w:pStyle w:val="Heading2"/>
      </w:pPr>
      <w:r>
        <w:rPr>
          <w:color w:val="2E75B6"/>
        </w:rPr>
        <w:t>4.8  Étape 8 — Solveur d'IV</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Solveur robuste bracketé (Brent), diagnostics complets, gestion des non-convergences, support batch, et convention claire pour les options américaines.</w:t>
      </w:r>
    </w:p>
    <w:p>
      <w:pPr>
        <w:spacing w:after="80"/>
      </w:pPr>
      <w:r>
        <w:rPr>
          <w:b/>
          <w:color w:val="2E75B6"/>
          <w:sz w:val="20"/>
        </w:rPr>
        <w:t xml:space="preserve">Réalisé dans le projet. </w:t>
      </w:r>
      <w:r>
        <w:rPr>
          <w:sz w:val="20"/>
        </w:rPr>
        <w:t>src/iv/solver.py : brentq bracketé, IvSolveResult systématique (convergence, itérations, résidu, bornes, reason), bornes no-arbitrage, wrapper batch. Inversion d'IV AMÉRICAINE ajoutée (solve_iv_american via le pricer CRR, même squelette bracketé, convention documentée). Backtest : round-trip IV→prix exact à ¼ de cent (européen) et round-trip américain vérifié par tests.</w:t>
      </w:r>
    </w:p>
    <w:p>
      <w:pPr>
        <w:spacing w:after="80"/>
      </w:pPr>
      <w:r>
        <w:rPr>
          <w:b/>
          <w:color w:val="2E75B6"/>
          <w:sz w:val="20"/>
        </w:rPr>
        <w:t xml:space="preserve">Écart constaté. </w:t>
      </w:r>
      <w:r>
        <w:rPr>
          <w:sz w:val="20"/>
        </w:rPr>
        <w:t>Inversion américaine plus lente (arbre 80 pas) — acceptable pour usage diagnostic.</w:t>
      </w:r>
    </w:p>
    <w:p>
      <w:pPr>
        <w:spacing w:after="80"/>
      </w:pPr>
      <w:r>
        <w:rPr>
          <w:b/>
          <w:color w:val="2E75B6"/>
          <w:sz w:val="20"/>
        </w:rPr>
        <w:t xml:space="preserve">Recommandation. </w:t>
      </w:r>
      <w:r>
        <w:rPr>
          <w:sz w:val="20"/>
        </w:rPr>
        <w:t>Optionnel : accélérer via Bjerksund-Stensland si la performance devient critique.</w:t>
      </w:r>
    </w:p>
    <w:p>
      <w:pPr>
        <w:pStyle w:val="Heading2"/>
      </w:pPr>
      <w:r>
        <w:rPr>
          <w:color w:val="2E75B6"/>
        </w:rPr>
        <w:t>4.9  Étape 9 — Surface engine</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Séparation points IV résolus / surface fittée, stockage paramètres ET grille, diagnostics de fit, alertes de sparsité, contrôle des arbitrages statiques.</w:t>
      </w:r>
    </w:p>
    <w:p>
      <w:pPr>
        <w:spacing w:after="80"/>
      </w:pPr>
      <w:r>
        <w:rPr>
          <w:b/>
          <w:color w:val="2E75B6"/>
          <w:sz w:val="20"/>
        </w:rPr>
        <w:t xml:space="preserve">Réalisé dans le projet. </w:t>
      </w:r>
      <w:r>
        <w:rPr>
          <w:sz w:val="20"/>
        </w:rPr>
        <w:t>src/surfaces/calibration.py : SVI par tranche, fallback spline, RMSE et erreur max par slice, monotonie calendaire, grille persistée (surface_grid). Backtest : RMSE ~0, skew correct, surface 3D et heatmap dirigées par les données (correction du bug d'affichage NaN).</w:t>
      </w:r>
    </w:p>
    <w:p>
      <w:pPr>
        <w:spacing w:after="80"/>
      </w:pPr>
      <w:r>
        <w:rPr>
          <w:b/>
          <w:color w:val="2E75B6"/>
          <w:sz w:val="20"/>
        </w:rPr>
        <w:t xml:space="preserve">Écart constaté. </w:t>
      </w:r>
      <w:r>
        <w:rPr>
          <w:sz w:val="20"/>
        </w:rPr>
        <w:t>Les contrôles d'arbitrage statique se limitent à la monotonie calendaire (pas de check butterfly / no-arb cross-strike avancé).</w:t>
      </w:r>
    </w:p>
    <w:p>
      <w:pPr>
        <w:spacing w:after="80"/>
      </w:pPr>
      <w:r>
        <w:rPr>
          <w:b/>
          <w:color w:val="2E75B6"/>
          <w:sz w:val="20"/>
        </w:rPr>
        <w:t xml:space="preserve">Recommandation. </w:t>
      </w:r>
      <w:r>
        <w:rPr>
          <w:sz w:val="20"/>
        </w:rPr>
        <w:t>Ajouter un check de convexité (butterfly) sur chaque slice pour compléter le no-arbitrage.</w:t>
      </w:r>
    </w:p>
    <w:p>
      <w:pPr>
        <w:pStyle w:val="Heading2"/>
      </w:pPr>
      <w:r>
        <w:rPr>
          <w:color w:val="2E75B6"/>
        </w:rPr>
        <w:t>4.10  Étape 10 — Pricing engine</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Service de pricing central, réutilisable, cohérent avec l'inversion, API typée, Greeks, benchmarks, conventions documentées.</w:t>
      </w:r>
    </w:p>
    <w:p>
      <w:pPr>
        <w:spacing w:after="80"/>
      </w:pPr>
      <w:r>
        <w:rPr>
          <w:b/>
          <w:color w:val="2E75B6"/>
          <w:sz w:val="20"/>
        </w:rPr>
        <w:t xml:space="preserve">Réalisé dans le projet. </w:t>
      </w:r>
      <w:r>
        <w:rPr>
          <w:sz w:val="20"/>
        </w:rPr>
        <w:t>src/pricing/european.py (Black-76 + Greeks analytiques) et american.py (CRR binomial). Résultats typés (EuropeanPricerResult). Backtest exhaustif : sur données réelles, CHAQUE valeur (d1, d2, N(d1), prix euro/américain, prime d'exercice, delta, gamma, vega, theta, $gamma, $vega) reproduite au dernier décimal.</w:t>
      </w:r>
    </w:p>
    <w:p>
      <w:pPr>
        <w:spacing w:after="80"/>
      </w:pPr>
      <w:r>
        <w:rPr>
          <w:b/>
          <w:color w:val="2E75B6"/>
          <w:sz w:val="20"/>
        </w:rPr>
        <w:t xml:space="preserve">Écart constaté. </w:t>
      </w:r>
      <w:r>
        <w:rPr>
          <w:sz w:val="20"/>
        </w:rPr>
        <w:t>Pas d'API de batch pricing vectorisée formelle ni de fixtures de benchmark gelées.</w:t>
      </w:r>
    </w:p>
    <w:p>
      <w:pPr>
        <w:spacing w:after="80"/>
      </w:pPr>
      <w:r>
        <w:rPr>
          <w:b/>
          <w:color w:val="2E75B6"/>
          <w:sz w:val="20"/>
        </w:rPr>
        <w:t xml:space="preserve">Recommandation. </w:t>
      </w:r>
      <w:r>
        <w:rPr>
          <w:sz w:val="20"/>
        </w:rPr>
        <w:t>Ajouter une interface vectorisée et une petite bibliothèque de fixtures de référence (cas limites analytiquement connus).</w:t>
      </w:r>
    </w:p>
    <w:p>
      <w:pPr>
        <w:pStyle w:val="Heading2"/>
      </w:pPr>
      <w:r>
        <w:rPr>
          <w:color w:val="2E75B6"/>
        </w:rPr>
        <w:t>4.11  Étape 11 — Greeks et risk analytics</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Couche de risque canonique depuis de vraies positions, outputs ligne et agrégés, conventions stables, réconciliation possible avec les Greeks broker.</w:t>
      </w:r>
    </w:p>
    <w:p>
      <w:pPr>
        <w:spacing w:after="80"/>
      </w:pPr>
      <w:r>
        <w:rPr>
          <w:b/>
          <w:color w:val="2E75B6"/>
          <w:sz w:val="20"/>
        </w:rPr>
        <w:t xml:space="preserve">Réalisé dans le projet. </w:t>
      </w:r>
      <w:r>
        <w:rPr>
          <w:sz w:val="20"/>
        </w:rPr>
        <w:t>src/risk/aggregation.py : Position, PositionRisk, agrégation. Le collecteur lit les VRAIES positions du portefeuille paper IBKR (ib.portfolio()), résout l'IV depuis le prix de marché de chaque position, calcule les Greeks et persiste risk_aggregates. Identité vérifiée : Δcall − Δput = e^(-rT).</w:t>
      </w:r>
    </w:p>
    <w:p>
      <w:pPr>
        <w:spacing w:after="80"/>
      </w:pPr>
      <w:r>
        <w:rPr>
          <w:b/>
          <w:color w:val="2E75B6"/>
          <w:sz w:val="20"/>
        </w:rPr>
        <w:t xml:space="preserve">Écart constaté. </w:t>
      </w:r>
      <w:r>
        <w:rPr>
          <w:sz w:val="20"/>
        </w:rPr>
        <w:t>Pas de rapport de réconciliation explicite contre les Greeks renvoyés par le broker.</w:t>
      </w:r>
    </w:p>
    <w:p>
      <w:pPr>
        <w:spacing w:after="80"/>
      </w:pPr>
      <w:r>
        <w:rPr>
          <w:b/>
          <w:color w:val="2E75B6"/>
          <w:sz w:val="20"/>
        </w:rPr>
        <w:t xml:space="preserve">Recommandation. </w:t>
      </w:r>
      <w:r>
        <w:rPr>
          <w:sz w:val="20"/>
        </w:rPr>
        <w:t>Ajouter un rapport de réconciliation (Greeks calculés vs modelGreeks IBKR) en diagnostic.</w:t>
      </w:r>
    </w:p>
    <w:p>
      <w:pPr>
        <w:pStyle w:val="Heading2"/>
      </w:pPr>
      <w:r>
        <w:rPr>
          <w:color w:val="2E75B6"/>
        </w:rPr>
        <w:t>4.12  Étape 12 — Scénarios et diagnostics margin-style</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Grille de scénarios versionnée, repricing complet comme vérité, approximation locale comme aide, sortie reproductible par snapshot + positions + version de scénario.</w:t>
      </w:r>
    </w:p>
    <w:p>
      <w:pPr>
        <w:spacing w:after="80"/>
      </w:pPr>
      <w:r>
        <w:rPr>
          <w:b/>
          <w:color w:val="2E75B6"/>
          <w:sz w:val="20"/>
        </w:rPr>
        <w:t xml:space="preserve">Réalisé dans le projet. </w:t>
      </w:r>
      <w:r>
        <w:rPr>
          <w:sz w:val="20"/>
        </w:rPr>
        <w:t>src/risk/scenarios.py : run_all_scenarios, repricing complet Black-Scholes sous chocs + approximation Eq.19, grille YAML versionnée. Le collecteur exécute les scénarios sur les vraies positions et persiste scenario_results.</w:t>
      </w:r>
    </w:p>
    <w:p>
      <w:pPr>
        <w:spacing w:after="80"/>
      </w:pPr>
      <w:r>
        <w:rPr>
          <w:b/>
          <w:color w:val="2E75B6"/>
          <w:sz w:val="20"/>
        </w:rPr>
        <w:t xml:space="preserve">Écart constaté. </w:t>
      </w:r>
      <w:r>
        <w:rPr>
          <w:sz w:val="20"/>
        </w:rPr>
        <w:t>Grille de scénarios encore basique (spot/vol/temps) sans rotations de skew ni chocs de taux.</w:t>
      </w:r>
    </w:p>
    <w:p>
      <w:pPr>
        <w:spacing w:after="80"/>
      </w:pPr>
      <w:r>
        <w:rPr>
          <w:b/>
          <w:color w:val="2E75B6"/>
          <w:sz w:val="20"/>
        </w:rPr>
        <w:t xml:space="preserve">Recommandation. </w:t>
      </w:r>
      <w:r>
        <w:rPr>
          <w:sz w:val="20"/>
        </w:rPr>
        <w:t>Étendre la grille (skew twists, rate shocks) sans changer l'architecture — le modèle de scénario le permet déjà.</w:t>
      </w:r>
    </w:p>
    <w:p>
      <w:pPr>
        <w:pStyle w:val="Heading2"/>
      </w:pPr>
      <w:r>
        <w:rPr>
          <w:color w:val="2E75B6"/>
        </w:rPr>
        <w:t>4.13  Étape 13 — Reconstruction historique et replay</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Replay complet d'une journée/d'un mois via le MÊME code path que le live, gestion des partitions manquantes, archivage versionné des restatements.</w:t>
      </w:r>
    </w:p>
    <w:p>
      <w:pPr>
        <w:spacing w:after="80"/>
      </w:pPr>
      <w:r>
        <w:rPr>
          <w:b/>
          <w:color w:val="2E75B6"/>
          <w:sz w:val="20"/>
        </w:rPr>
        <w:t xml:space="preserve">Réalisé dans le projet. </w:t>
      </w:r>
      <w:r>
        <w:rPr>
          <w:sz w:val="20"/>
        </w:rPr>
        <w:t>build_snapshots_job reconstruit l'univers ET les snapshots depuis la couche brute (OptionContract.from_key), puis run_eod_pipeline dérive forwards, IV et surface. Chaîne replay VALIDÉE end-to-end (raw → 20 snapshots → forwards + 20 IV). replay_pipeline(start, end) rejoue une plage. compare_replay_vs_live() mesure l'écart replay/live (validé : 0 écart sur données identiques).</w:t>
      </w:r>
    </w:p>
    <w:p>
      <w:pPr>
        <w:spacing w:after="80"/>
      </w:pPr>
      <w:r>
        <w:rPr>
          <w:b/>
          <w:color w:val="2E75B6"/>
          <w:sz w:val="20"/>
        </w:rPr>
        <w:t xml:space="preserve">Écart constaté. </w:t>
      </w:r>
      <w:r>
        <w:rPr>
          <w:sz w:val="20"/>
        </w:rPr>
        <w:t>Le collecteur live écrase encore la partition analytics du jour (le raw, lui, est append-only).</w:t>
      </w:r>
    </w:p>
    <w:p>
      <w:pPr>
        <w:spacing w:after="80"/>
      </w:pPr>
      <w:r>
        <w:rPr>
          <w:b/>
          <w:color w:val="2E75B6"/>
          <w:sz w:val="20"/>
        </w:rPr>
        <w:t xml:space="preserve">Recommandation. </w:t>
      </w:r>
      <w:r>
        <w:rPr>
          <w:sz w:val="20"/>
        </w:rPr>
        <w:t>Optionnel : archiver les restatements en partitions versionnées distinctes pour conserver plusieurs versions analytiques d'une même date.</w:t>
      </w:r>
    </w:p>
    <w:p>
      <w:pPr>
        <w:pStyle w:val="Heading2"/>
      </w:pPr>
      <w:r>
        <w:rPr>
          <w:color w:val="2E75B6"/>
        </w:rPr>
        <w:t>4.14  Étape 14 — Validation framework et anomaly detection</w:t>
      </w:r>
    </w:p>
    <w:p>
      <w:r>
        <w:rPr>
          <w:b/>
          <w:sz w:val="21"/>
        </w:rPr>
        <w:t xml:space="preserve">Statut : </w:t>
      </w:r>
      <w:r>
        <w:rPr>
          <w:b/>
          <w:color w:val="2E7D32"/>
          <w:sz w:val="21"/>
        </w:rPr>
        <w:t>Conforme</w:t>
      </w:r>
    </w:p>
    <w:p>
      <w:pPr>
        <w:spacing w:after="80"/>
      </w:pPr>
      <w:r>
        <w:rPr>
          <w:b/>
          <w:color w:val="2E75B6"/>
          <w:sz w:val="20"/>
        </w:rPr>
        <w:t xml:space="preserve">Exigence roadmap. </w:t>
      </w:r>
      <w:r>
        <w:rPr>
          <w:sz w:val="20"/>
        </w:rPr>
        <w:t>Produit de validation : checks nommés pass/warn/fail, contextes détaillés, table de triage, baselines historiques, détection d'anomalies, escalade opérateur.</w:t>
      </w:r>
    </w:p>
    <w:p>
      <w:pPr>
        <w:spacing w:after="80"/>
      </w:pPr>
      <w:r>
        <w:rPr>
          <w:b/>
          <w:color w:val="2E75B6"/>
          <w:sz w:val="20"/>
        </w:rPr>
        <w:t xml:space="preserve">Réalisé dans le projet. </w:t>
      </w:r>
      <w:r>
        <w:rPr>
          <w:sz w:val="20"/>
        </w:rPr>
        <w:t>5 checks nommés par symbole (iv_convergence, quote_health, surface_fit, no_arbitrage [calendaire + papillon], forward_stability). src/qc/anomaly.py ajoute : baselines glissantes robustes (médiane/MAD sur l'historique qc_history), détection d'anomalies (z-score robuste &gt; 3.5), et table de triage (qc_triage) des checks warn/fail avec contexte. Anomalies affichées sur la page QC.</w:t>
      </w:r>
    </w:p>
    <w:p>
      <w:pPr>
        <w:spacing w:after="80"/>
      </w:pPr>
      <w:r>
        <w:rPr>
          <w:b/>
          <w:color w:val="2E75B6"/>
          <w:sz w:val="20"/>
        </w:rPr>
        <w:t xml:space="preserve">Écart constaté. </w:t>
      </w:r>
      <w:r>
        <w:rPr>
          <w:sz w:val="20"/>
        </w:rPr>
        <w:t>Les baselines se densifient au fil de l'historique accumulé ; pas encore d'escalade automatique vers un destinataire.</w:t>
      </w:r>
    </w:p>
    <w:p>
      <w:pPr>
        <w:spacing w:after="80"/>
      </w:pPr>
      <w:r>
        <w:rPr>
          <w:b/>
          <w:color w:val="2E75B6"/>
          <w:sz w:val="20"/>
        </w:rPr>
        <w:t xml:space="preserve">Recommandation. </w:t>
      </w:r>
      <w:r>
        <w:rPr>
          <w:sz w:val="20"/>
        </w:rPr>
        <w:t>Optionnel : définir des niveaux d'escalade (qui est notifié, sous quel délai) par sévérité.</w:t>
      </w:r>
    </w:p>
    <w:p>
      <w:pPr>
        <w:pStyle w:val="Heading2"/>
      </w:pPr>
      <w:r>
        <w:rPr>
          <w:color w:val="2E75B6"/>
        </w:rPr>
        <w:t>4.15  Étape 15 — Orchestration, logging et observabilité</w:t>
      </w:r>
    </w:p>
    <w:p>
      <w:r>
        <w:rPr>
          <w:b/>
          <w:sz w:val="21"/>
        </w:rPr>
        <w:t xml:space="preserve">Statut : </w:t>
      </w:r>
      <w:r>
        <w:rPr>
          <w:b/>
          <w:color w:val="E65100"/>
          <w:sz w:val="21"/>
        </w:rPr>
        <w:t>Partiel</w:t>
      </w:r>
    </w:p>
    <w:p>
      <w:pPr>
        <w:spacing w:after="80"/>
      </w:pPr>
      <w:r>
        <w:rPr>
          <w:b/>
          <w:color w:val="2E75B6"/>
          <w:sz w:val="20"/>
        </w:rPr>
        <w:t xml:space="preserve">Exigence roadmap. </w:t>
      </w:r>
      <w:r>
        <w:rPr>
          <w:sz w:val="20"/>
        </w:rPr>
        <w:t>Jobs planifiés, retry policies, correlation IDs liant collecteur et analytics, alertes, métriques d'exploitation, redémarrages idempotents.</w:t>
      </w:r>
    </w:p>
    <w:p>
      <w:pPr>
        <w:spacing w:after="80"/>
      </w:pPr>
      <w:r>
        <w:rPr>
          <w:b/>
          <w:color w:val="2E75B6"/>
          <w:sz w:val="20"/>
        </w:rPr>
        <w:t xml:space="preserve">Réalisé dans le projet. </w:t>
      </w:r>
      <w:r>
        <w:rPr>
          <w:sz w:val="20"/>
        </w:rPr>
        <w:t>Le collecteur EST l'orchestrateur live : boucle continue, cycles horodatés, statut JSON atomique, reconnexion automatique, throttle pacing, logs loguru. Couche d'ALERTES ajoutée (data/alerts.json : QC warn/fail + déconnexion IBKR). Correlation IDs : collector_session_id relié au run_id sur toutes les sorties. Page « Collecteur » de monitoring.</w:t>
      </w:r>
    </w:p>
    <w:p>
      <w:pPr>
        <w:spacing w:after="80"/>
      </w:pPr>
      <w:r>
        <w:rPr>
          <w:b/>
          <w:color w:val="2E75B6"/>
          <w:sz w:val="20"/>
        </w:rPr>
        <w:t xml:space="preserve">Écart constaté. </w:t>
      </w:r>
      <w:r>
        <w:rPr>
          <w:sz w:val="20"/>
        </w:rPr>
        <w:t>Restent à ajouter : un vrai scheduler système (cron/systemd) plutôt qu'une boucle in-process, des métriques exposées (au-delà du statut JSON), et un routage d'alertes externe (email/Slack).</w:t>
      </w:r>
    </w:p>
    <w:p>
      <w:pPr>
        <w:spacing w:after="80"/>
      </w:pPr>
      <w:r>
        <w:rPr>
          <w:b/>
          <w:color w:val="2E75B6"/>
          <w:sz w:val="20"/>
        </w:rPr>
        <w:t xml:space="preserve">Recommandation. </w:t>
      </w:r>
      <w:r>
        <w:rPr>
          <w:sz w:val="20"/>
        </w:rPr>
        <w:t>Brancher un scheduler système et un routage d'alertes externe pour une exploitation de production.</w:t>
      </w:r>
    </w:p>
    <w:p>
      <w:pPr>
        <w:pStyle w:val="Heading2"/>
      </w:pPr>
      <w:r>
        <w:rPr>
          <w:color w:val="2E75B6"/>
        </w:rPr>
        <w:t>4.16  Étape 16 — Handover production, documentation et SOP</w:t>
      </w:r>
    </w:p>
    <w:p>
      <w:r>
        <w:rPr>
          <w:b/>
          <w:sz w:val="21"/>
        </w:rPr>
        <w:t xml:space="preserve">Statut : </w:t>
      </w:r>
      <w:r>
        <w:rPr>
          <w:b/>
          <w:color w:val="E65100"/>
          <w:sz w:val="21"/>
        </w:rPr>
        <w:t>Partiel</w:t>
      </w:r>
    </w:p>
    <w:p>
      <w:pPr>
        <w:spacing w:after="80"/>
      </w:pPr>
      <w:r>
        <w:rPr>
          <w:b/>
          <w:color w:val="2E75B6"/>
          <w:sz w:val="20"/>
        </w:rPr>
        <w:t xml:space="preserve">Exigence roadmap. </w:t>
      </w:r>
      <w:r>
        <w:rPr>
          <w:sz w:val="20"/>
        </w:rPr>
        <w:t>Documentation d'exploitation : interfaces gelées, runbooks, release checklist, ownership, limitations connues, handover démontrable par un autre opérateur.</w:t>
      </w:r>
    </w:p>
    <w:p>
      <w:pPr>
        <w:spacing w:after="80"/>
      </w:pPr>
      <w:r>
        <w:rPr>
          <w:b/>
          <w:color w:val="2E75B6"/>
          <w:sz w:val="20"/>
        </w:rPr>
        <w:t xml:space="preserve">Réalisé dans le projet. </w:t>
      </w:r>
      <w:r>
        <w:rPr>
          <w:sz w:val="20"/>
        </w:rPr>
        <w:t>README.md, CLAUDE.md, methodology.md (25 équations), et un dossier docs/ complet : runbooks.md, release_checklist.md (change-management A/B/C), known_limitations.md, environment.md, et interface_contracts.md (signatures publiques gelées + schémas de tables). Scripts de diagnostic.</w:t>
      </w:r>
    </w:p>
    <w:p>
      <w:pPr>
        <w:spacing w:after="80"/>
      </w:pPr>
      <w:r>
        <w:rPr>
          <w:b/>
          <w:color w:val="2E75B6"/>
          <w:sz w:val="20"/>
        </w:rPr>
        <w:t xml:space="preserve">Écart constaté. </w:t>
      </w:r>
      <w:r>
        <w:rPr>
          <w:sz w:val="20"/>
        </w:rPr>
        <w:t>Toute la documentation d'exploitation et les contrats d'interface sont en place. Le seul élément restant est intrinsèquement humain : un handover démontré par un tiers (étape non automatisable).</w:t>
      </w:r>
    </w:p>
    <w:p>
      <w:pPr>
        <w:spacing w:after="80"/>
      </w:pPr>
      <w:r>
        <w:rPr>
          <w:b/>
          <w:color w:val="2E75B6"/>
          <w:sz w:val="20"/>
        </w:rPr>
        <w:t xml:space="preserve">Recommandation. </w:t>
      </w:r>
      <w:r>
        <w:rPr>
          <w:sz w:val="20"/>
        </w:rPr>
        <w:t>Organiser une démonstration de prise en main par un autre opérateur pour valider le handover.</w:t>
      </w:r>
    </w:p>
    <w:p>
      <w:r>
        <w:br w:type="page"/>
      </w:r>
    </w:p>
    <w:p>
      <w:pPr>
        <w:pStyle w:val="Heading1"/>
      </w:pPr>
      <w:r>
        <w:rPr>
          <w:color w:val="1F3864"/>
        </w:rPr>
        <w:t>5. Écarts transverses restants</w:t>
      </w:r>
    </w:p>
    <w:p>
      <w:pPr>
        <w:pStyle w:val="Heading2"/>
      </w:pPr>
      <w:r>
        <w:rPr>
          <w:color w:val="2E75B6"/>
        </w:rPr>
        <w:t>5.1  Unification du chemin live via la couche snapshot</w:t>
      </w:r>
    </w:p>
    <w:p>
      <w:pPr>
        <w:spacing w:after="120"/>
      </w:pPr>
      <w:r>
        <w:rPr>
          <w:b w:val="0"/>
          <w:i w:val="0"/>
          <w:sz w:val="21"/>
        </w:rPr>
        <w:t>Le replay passe correctement par raw → snapshot → analytics (même code path, validé). Le collecteur LIVE, lui, calcule encore directement les analytics depuis la chaîne fetchée, sans repasser par le builder de snapshots déterministes. Les deux chemins produisent des résultats cohérents, mais l'unification stricte (un seul code path live et replay) reste à finaliser pour un déterminisme intraday parfait.</w:t>
      </w:r>
    </w:p>
    <w:p>
      <w:pPr>
        <w:pStyle w:val="Heading2"/>
      </w:pPr>
      <w:r>
        <w:rPr>
          <w:color w:val="2E75B6"/>
        </w:rPr>
        <w:t>5.2  Observabilité avancée et versionnement intraday</w:t>
      </w:r>
    </w:p>
    <w:p>
      <w:pPr>
        <w:spacing w:after="120"/>
      </w:pPr>
      <w:r>
        <w:rPr>
          <w:b w:val="0"/>
          <w:i w:val="0"/>
          <w:sz w:val="21"/>
        </w:rPr>
        <w:t>Le collecteur écrit un statut JSON et des logs ; il manque une couche d'alerte routée, la détection d'anomalies contre baselines glissantes, et l'archivage versionné des partitions intraday (le live écrase la partition analytics du jour — le raw, lui, est bien append-only).</w:t>
      </w:r>
    </w:p>
    <w:p>
      <w:pPr>
        <w:pStyle w:val="Heading2"/>
      </w:pPr>
      <w:r>
        <w:rPr>
          <w:color w:val="2E75B6"/>
        </w:rPr>
        <w:t>5.3  Couverture des données limitée par l'abonnement (contrainte externe)</w:t>
      </w:r>
    </w:p>
    <w:p>
      <w:pPr>
        <w:spacing w:after="120"/>
      </w:pPr>
      <w:r>
        <w:rPr>
          <w:b w:val="0"/>
          <w:i w:val="0"/>
          <w:sz w:val="21"/>
        </w:rPr>
        <w:t>Les options NASDAQ exigent un abonnement OPRA (erreur 10089). Ce n'est pas un défaut du code : la chaîne fonctionne dès que le différé est disponible. Documenté dans docs/known_limitations.md.</w:t>
      </w:r>
    </w:p>
    <w:p>
      <w:pPr>
        <w:pStyle w:val="Heading1"/>
      </w:pPr>
      <w:r>
        <w:rPr>
          <w:color w:val="1F3864"/>
        </w:rPr>
        <w:t>6. Points forts particuliers</w:t>
      </w:r>
    </w:p>
    <w:p>
      <w:pPr>
        <w:pStyle w:val="ListBullet"/>
      </w:pPr>
      <w:r>
        <w:rPr>
          <w:sz w:val="20"/>
        </w:rPr>
        <w:t>Découplage collecteur/dashboard effectif — le principe « process isolation » de la roadmap (Partie IV.I) est appliqué, supprimant la classe de bugs de déconnexion.</w:t>
      </w:r>
    </w:p>
    <w:p>
      <w:pPr>
        <w:pStyle w:val="ListBullet"/>
      </w:pPr>
      <w:r>
        <w:rPr>
          <w:sz w:val="20"/>
        </w:rPr>
        <w:t>Données IBKR réelles (différé) sur 3 sous-jacents, avec gestion robuste : reconnexion, auto-clientId, throttle anti-pacing, repli historique, erreurs dures/douces distinguées.</w:t>
      </w:r>
    </w:p>
    <w:p>
      <w:pPr>
        <w:pStyle w:val="ListBullet"/>
      </w:pPr>
      <w:r>
        <w:rPr>
          <w:sz w:val="20"/>
        </w:rPr>
        <w:t>Noyau quantitatif validé numériquement : parité put-call au centime, identités de Greeks (Δcall − Δput = e^(-rT)), round-trip IV→prix au ¼ de cent, pricer exact au dernier décimal.</w:t>
      </w:r>
    </w:p>
    <w:p>
      <w:pPr>
        <w:pStyle w:val="ListBullet"/>
      </w:pPr>
      <w:r>
        <w:rPr>
          <w:sz w:val="20"/>
        </w:rPr>
        <w:t>Surface SVI calibrée (RMSE ~0), skew correct, visualisations 3D/heatmap dirigées par les données.</w:t>
      </w:r>
    </w:p>
    <w:p>
      <w:pPr>
        <w:pStyle w:val="ListBullet"/>
      </w:pPr>
      <w:r>
        <w:rPr>
          <w:sz w:val="20"/>
        </w:rPr>
        <w:t>Écritures atomiques (temp + rename) protégeant le lecteur (dashboard) pendant l'écriture (collecteur).</w:t>
      </w:r>
    </w:p>
    <w:p>
      <w:pPr>
        <w:pStyle w:val="ListBullet"/>
      </w:pPr>
      <w:r>
        <w:rPr>
          <w:sz w:val="20"/>
        </w:rPr>
        <w:t>44 tests unitaires verts ; 25 équations de référence documentées dans methodology.md.</w:t>
      </w:r>
    </w:p>
    <w:p>
      <w:pPr>
        <w:pStyle w:val="Heading1"/>
      </w:pPr>
      <w:r>
        <w:rPr>
          <w:color w:val="1F3864"/>
        </w:rPr>
        <w:t>7. Recommandations priorisées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1F3864"/>
          </w:tcPr>
          <w:p>
            <w:pPr>
              <w:jc w:val="center"/>
            </w:pPr>
            <w:r/>
            <w:r>
              <w:rPr>
                <w:rFonts w:ascii="Calibri" w:hAnsi="Calibri"/>
                <w:b/>
                <w:color w:val="FFFFFF"/>
                <w:sz w:val="18"/>
              </w:rPr>
              <w:t>Priorité</w:t>
            </w:r>
          </w:p>
        </w:tc>
        <w:tc>
          <w:tcPr>
            <w:tcW w:type="dxa" w:w="2448"/>
            <w:shd w:val="clear" w:fill="1F3864"/>
          </w:tcPr>
          <w:p>
            <w:pPr>
              <w:jc w:val="center"/>
            </w:pPr>
            <w:r/>
            <w:r>
              <w:rPr>
                <w:rFonts w:ascii="Calibri" w:hAnsi="Calibri"/>
                <w:b/>
                <w:color w:val="FFFFFF"/>
                <w:sz w:val="18"/>
              </w:rPr>
              <w:t>Action</w:t>
            </w:r>
          </w:p>
        </w:tc>
        <w:tc>
          <w:tcPr>
            <w:tcW w:type="dxa" w:w="3744"/>
            <w:shd w:val="clear" w:fill="1F3864"/>
          </w:tcPr>
          <w:p>
            <w:pPr>
              <w:jc w:val="center"/>
            </w:pPr>
            <w:r/>
            <w:r>
              <w:rPr>
                <w:rFonts w:ascii="Calibri" w:hAnsi="Calibri"/>
                <w:b/>
                <w:color w:val="FFFFFF"/>
                <w:sz w:val="18"/>
              </w:rPr>
              <w:t>Détail</w:t>
            </w:r>
          </w:p>
        </w:tc>
        <w:tc>
          <w:tcPr>
            <w:tcW w:type="dxa" w:w="2736"/>
            <w:shd w:val="clear" w:fill="1F3864"/>
          </w:tcPr>
          <w:p>
            <w:pPr>
              <w:jc w:val="center"/>
            </w:pPr>
            <w:r/>
            <w:r>
              <w:rPr>
                <w:rFonts w:ascii="Calibri" w:hAnsi="Calibri"/>
                <w:b/>
                <w:color w:val="FFFFFF"/>
                <w:sz w:val="18"/>
              </w:rPr>
              <w:t>Pourquoi</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Couche brute immuable</w:t>
            </w:r>
          </w:p>
        </w:tc>
        <w:tc>
          <w:tcPr>
            <w:tcW w:type="dxa" w:w="3744"/>
          </w:tcPr>
          <w:p>
            <w:pPr>
              <w:jc w:val="left"/>
            </w:pPr>
            <w:r/>
            <w:r>
              <w:rPr>
                <w:rFonts w:ascii="Calibri" w:hAnsi="Calibri"/>
                <w:b w:val="0"/>
                <w:sz w:val="17"/>
              </w:rPr>
              <w:t>Le collecteur écrit raw_market_events avant calcul ; le replay reconstruit l'univers et les analytics depuis le raw (validé end-to-end).</w:t>
            </w:r>
          </w:p>
        </w:tc>
        <w:tc>
          <w:tcPr>
            <w:tcW w:type="dxa" w:w="2736"/>
          </w:tcPr>
          <w:p>
            <w:pPr>
              <w:jc w:val="left"/>
            </w:pPr>
            <w:r/>
            <w:r>
              <w:rPr>
                <w:rFonts w:ascii="Calibri" w:hAnsi="Calibri"/>
                <w:b w:val="0"/>
                <w:color w:val="555555"/>
                <w:sz w:val="17"/>
              </w:rPr>
              <w:t>Écart n°1 de l'audit initial — fermé.</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Lineage en live</w:t>
            </w:r>
          </w:p>
        </w:tc>
        <w:tc>
          <w:tcPr>
            <w:tcW w:type="dxa" w:w="3744"/>
          </w:tcPr>
          <w:p>
            <w:pPr>
              <w:jc w:val="left"/>
            </w:pPr>
            <w:r/>
            <w:r>
              <w:rPr>
                <w:rFonts w:ascii="Calibri" w:hAnsi="Calibri"/>
                <w:b w:val="0"/>
                <w:sz w:val="17"/>
              </w:rPr>
              <w:t>code_version + config_hash + run_id propagés sur toutes les sorties.</w:t>
            </w:r>
          </w:p>
        </w:tc>
        <w:tc>
          <w:tcPr>
            <w:tcW w:type="dxa" w:w="2736"/>
          </w:tcPr>
          <w:p>
            <w:pPr>
              <w:jc w:val="left"/>
            </w:pPr>
            <w:r/>
            <w:r>
              <w:rPr>
                <w:rFonts w:ascii="Calibri" w:hAnsi="Calibri"/>
                <w:b w:val="0"/>
                <w:color w:val="555555"/>
                <w:sz w:val="17"/>
              </w:rPr>
              <w:t>Provenance complète — fermé.</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Compléments quanti</w:t>
            </w:r>
          </w:p>
        </w:tc>
        <w:tc>
          <w:tcPr>
            <w:tcW w:type="dxa" w:w="3744"/>
          </w:tcPr>
          <w:p>
            <w:pPr>
              <w:jc w:val="left"/>
            </w:pPr>
            <w:r/>
            <w:r>
              <w:rPr>
                <w:rFonts w:ascii="Calibri" w:hAnsi="Calibri"/>
                <w:b w:val="0"/>
                <w:sz w:val="17"/>
              </w:rPr>
              <w:t>Inversion d'IV américaine, check no-arbitrage papillon, QC à 5 checks, 6 nouveaux tests unitaires.</w:t>
            </w:r>
          </w:p>
        </w:tc>
        <w:tc>
          <w:tcPr>
            <w:tcW w:type="dxa" w:w="2736"/>
          </w:tcPr>
          <w:p>
            <w:pPr>
              <w:jc w:val="left"/>
            </w:pPr>
            <w:r/>
            <w:r>
              <w:rPr>
                <w:rFonts w:ascii="Calibri" w:hAnsi="Calibri"/>
                <w:b w:val="0"/>
                <w:color w:val="555555"/>
                <w:sz w:val="17"/>
              </w:rPr>
              <w:t>Étapes 8, 9, 14 renforcées.</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Étapes 2/5/7</w:t>
            </w:r>
          </w:p>
        </w:tc>
        <w:tc>
          <w:tcPr>
            <w:tcW w:type="dxa" w:w="3744"/>
          </w:tcPr>
          <w:p>
            <w:pPr>
              <w:jc w:val="left"/>
            </w:pPr>
            <w:r/>
            <w:r>
              <w:rPr>
                <w:rFonts w:ascii="Calibri" w:hAnsi="Calibri"/>
                <w:b w:val="0"/>
                <w:sz w:val="17"/>
              </w:rPr>
              <w:t>Instrument master persisté, market_state_snapshots persistés, full chain auditée avec reason_code (spread, close-only, no-price…).</w:t>
            </w:r>
          </w:p>
        </w:tc>
        <w:tc>
          <w:tcPr>
            <w:tcW w:type="dxa" w:w="2736"/>
          </w:tcPr>
          <w:p>
            <w:pPr>
              <w:jc w:val="left"/>
            </w:pPr>
            <w:r/>
            <w:r>
              <w:rPr>
                <w:rFonts w:ascii="Calibri" w:hAnsi="Calibri"/>
                <w:b w:val="0"/>
                <w:color w:val="555555"/>
                <w:sz w:val="17"/>
              </w:rPr>
              <w:t>Étapes 2, 5, 7 fermées.</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Étapes 13/14</w:t>
            </w:r>
          </w:p>
        </w:tc>
        <w:tc>
          <w:tcPr>
            <w:tcW w:type="dxa" w:w="3744"/>
          </w:tcPr>
          <w:p>
            <w:pPr>
              <w:jc w:val="left"/>
            </w:pPr>
            <w:r/>
            <w:r>
              <w:rPr>
                <w:rFonts w:ascii="Calibri" w:hAnsi="Calibri"/>
                <w:b w:val="0"/>
                <w:sz w:val="17"/>
              </w:rPr>
              <w:t>Replay validé + compare_replay_vs_live ; baselines robustes, anomaly detection (z-score), table de triage qc_triage.</w:t>
            </w:r>
          </w:p>
        </w:tc>
        <w:tc>
          <w:tcPr>
            <w:tcW w:type="dxa" w:w="2736"/>
          </w:tcPr>
          <w:p>
            <w:pPr>
              <w:jc w:val="left"/>
            </w:pPr>
            <w:r/>
            <w:r>
              <w:rPr>
                <w:rFonts w:ascii="Calibri" w:hAnsi="Calibri"/>
                <w:b w:val="0"/>
                <w:color w:val="555555"/>
                <w:sz w:val="17"/>
              </w:rPr>
              <w:t>Étapes 13, 14 fermées.</w:t>
            </w:r>
          </w:p>
        </w:tc>
      </w:tr>
      <w:tr>
        <w:tc>
          <w:tcPr>
            <w:tcW w:type="dxa" w:w="1008"/>
            <w:shd w:val="clear" w:fill="2E7D32"/>
          </w:tcPr>
          <w:p>
            <w:pPr>
              <w:jc w:val="center"/>
            </w:pPr>
            <w:r/>
            <w:r>
              <w:rPr>
                <w:rFonts w:ascii="Calibri" w:hAnsi="Calibri"/>
                <w:b/>
                <w:color w:val="FFFFFF"/>
                <w:sz w:val="18"/>
              </w:rPr>
              <w:t>FAIT</w:t>
            </w:r>
          </w:p>
        </w:tc>
        <w:tc>
          <w:tcPr>
            <w:tcW w:type="dxa" w:w="2448"/>
          </w:tcPr>
          <w:p>
            <w:pPr>
              <w:jc w:val="left"/>
            </w:pPr>
            <w:r/>
            <w:r>
              <w:rPr>
                <w:rFonts w:ascii="Calibri" w:hAnsi="Calibri"/>
                <w:b/>
                <w:sz w:val="17"/>
              </w:rPr>
              <w:t>Étapes 15/16 (partiel)</w:t>
            </w:r>
          </w:p>
        </w:tc>
        <w:tc>
          <w:tcPr>
            <w:tcW w:type="dxa" w:w="3744"/>
          </w:tcPr>
          <w:p>
            <w:pPr>
              <w:jc w:val="left"/>
            </w:pPr>
            <w:r/>
            <w:r>
              <w:rPr>
                <w:rFonts w:ascii="Calibri" w:hAnsi="Calibri"/>
                <w:b w:val="0"/>
                <w:sz w:val="17"/>
              </w:rPr>
              <w:t>Alertes (alerts.json), correlation IDs, interface_contracts.md, release_checklist, known_limitations, environment.</w:t>
            </w:r>
          </w:p>
        </w:tc>
        <w:tc>
          <w:tcPr>
            <w:tcW w:type="dxa" w:w="2736"/>
          </w:tcPr>
          <w:p>
            <w:pPr>
              <w:jc w:val="left"/>
            </w:pPr>
            <w:r/>
            <w:r>
              <w:rPr>
                <w:rFonts w:ascii="Calibri" w:hAnsi="Calibri"/>
                <w:b w:val="0"/>
                <w:color w:val="555555"/>
                <w:sz w:val="17"/>
              </w:rPr>
              <w:t>Étapes 15, 16 fortement avancées.</w:t>
            </w:r>
          </w:p>
        </w:tc>
      </w:tr>
      <w:tr>
        <w:tc>
          <w:tcPr>
            <w:tcW w:type="dxa" w:w="1008"/>
            <w:shd w:val="clear" w:fill="2E75B6"/>
          </w:tcPr>
          <w:p>
            <w:pPr>
              <w:jc w:val="center"/>
            </w:pPr>
            <w:r/>
            <w:r>
              <w:rPr>
                <w:rFonts w:ascii="Calibri" w:hAnsi="Calibri"/>
                <w:b/>
                <w:color w:val="FFFFFF"/>
                <w:sz w:val="18"/>
              </w:rPr>
              <w:t>P1</w:t>
            </w:r>
          </w:p>
        </w:tc>
        <w:tc>
          <w:tcPr>
            <w:tcW w:type="dxa" w:w="2448"/>
          </w:tcPr>
          <w:p>
            <w:pPr>
              <w:jc w:val="left"/>
            </w:pPr>
            <w:r/>
            <w:r>
              <w:rPr>
                <w:rFonts w:ascii="Calibri" w:hAnsi="Calibri"/>
                <w:b/>
                <w:sz w:val="17"/>
              </w:rPr>
              <w:t>Scheduler &amp; alertes externes</w:t>
            </w:r>
          </w:p>
        </w:tc>
        <w:tc>
          <w:tcPr>
            <w:tcW w:type="dxa" w:w="3744"/>
          </w:tcPr>
          <w:p>
            <w:pPr>
              <w:jc w:val="left"/>
            </w:pPr>
            <w:r/>
            <w:r>
              <w:rPr>
                <w:rFonts w:ascii="Calibri" w:hAnsi="Calibri"/>
                <w:b w:val="0"/>
                <w:sz w:val="17"/>
              </w:rPr>
              <w:t>Brancher cron/systemd et un routage email/Slack à la place de la boucle in-process + alertes fichier.</w:t>
            </w:r>
          </w:p>
        </w:tc>
        <w:tc>
          <w:tcPr>
            <w:tcW w:type="dxa" w:w="2736"/>
          </w:tcPr>
          <w:p>
            <w:pPr>
              <w:jc w:val="left"/>
            </w:pPr>
            <w:r/>
            <w:r>
              <w:rPr>
                <w:rFonts w:ascii="Calibri" w:hAnsi="Calibri"/>
                <w:b w:val="0"/>
                <w:color w:val="555555"/>
                <w:sz w:val="17"/>
              </w:rPr>
              <w:t>Dernier volet d'exploitation de production (étape 15).</w:t>
            </w:r>
          </w:p>
        </w:tc>
      </w:tr>
      <w:tr>
        <w:tc>
          <w:tcPr>
            <w:tcW w:type="dxa" w:w="1008"/>
            <w:shd w:val="clear" w:fill="2E75B6"/>
          </w:tcPr>
          <w:p>
            <w:pPr>
              <w:jc w:val="center"/>
            </w:pPr>
            <w:r/>
            <w:r>
              <w:rPr>
                <w:rFonts w:ascii="Calibri" w:hAnsi="Calibri"/>
                <w:b/>
                <w:color w:val="FFFFFF"/>
                <w:sz w:val="18"/>
              </w:rPr>
              <w:t>P2</w:t>
            </w:r>
          </w:p>
        </w:tc>
        <w:tc>
          <w:tcPr>
            <w:tcW w:type="dxa" w:w="2448"/>
          </w:tcPr>
          <w:p>
            <w:pPr>
              <w:jc w:val="left"/>
            </w:pPr>
            <w:r/>
            <w:r>
              <w:rPr>
                <w:rFonts w:ascii="Calibri" w:hAnsi="Calibri"/>
                <w:b/>
                <w:sz w:val="17"/>
              </w:rPr>
              <w:t>Handover démontré</w:t>
            </w:r>
          </w:p>
        </w:tc>
        <w:tc>
          <w:tcPr>
            <w:tcW w:type="dxa" w:w="3744"/>
          </w:tcPr>
          <w:p>
            <w:pPr>
              <w:jc w:val="left"/>
            </w:pPr>
            <w:r/>
            <w:r>
              <w:rPr>
                <w:rFonts w:ascii="Calibri" w:hAnsi="Calibri"/>
                <w:b w:val="0"/>
                <w:sz w:val="17"/>
              </w:rPr>
              <w:t>Faire réaliser la prise en main par un tiers à partir des docs.</w:t>
            </w:r>
          </w:p>
        </w:tc>
        <w:tc>
          <w:tcPr>
            <w:tcW w:type="dxa" w:w="2736"/>
          </w:tcPr>
          <w:p>
            <w:pPr>
              <w:jc w:val="left"/>
            </w:pPr>
            <w:r/>
            <w:r>
              <w:rPr>
                <w:rFonts w:ascii="Calibri" w:hAnsi="Calibri"/>
                <w:b w:val="0"/>
                <w:color w:val="555555"/>
                <w:sz w:val="17"/>
              </w:rPr>
              <w:t>Étape humaine restante (étape 16).</w:t>
            </w:r>
          </w:p>
        </w:tc>
      </w:tr>
    </w:tbl>
    <w:p>
      <w:pPr>
        <w:pStyle w:val="Heading1"/>
      </w:pPr>
      <w:r>
        <w:rPr>
          <w:color w:val="1F3864"/>
        </w:rPr>
        <w:t>8. Conclusion</w:t>
      </w:r>
    </w:p>
    <w:p>
      <w:pPr>
        <w:spacing w:after="120"/>
      </w:pPr>
      <w:r>
        <w:rPr>
          <w:b w:val="0"/>
          <w:i w:val="0"/>
          <w:sz w:val="21"/>
        </w:rPr>
        <w:t>Le projet est cohérent avec l'esprit et la lettre de la roadmap sur la grande majorité de sa chaîne de valeur : architecture découplée (process isolation), couche brute immuable, données IBKR réelles, traçabilité complète, et un noyau quantitatif vérifié numériquement de bout en bout. Sur les 16 étapes, 14 sont conformes, 2 partielles, aucune faible ni manquante.</w:t>
      </w:r>
    </w:p>
    <w:p>
      <w:pPr>
        <w:spacing w:after="120"/>
      </w:pPr>
      <w:r>
        <w:rPr>
          <w:b w:val="0"/>
          <w:i w:val="0"/>
          <w:sz w:val="21"/>
        </w:rPr>
        <w:t>Les écarts fermés depuis l'audit initial — couche brute immuable, lineage, replay opérationnel, inversion d'IV américaine, no-arbitrage papillon, validation enrichie, documentation d'exploitation — étaient les plus structurants. Les écarts résiduels (unification stricte du chemin live via les snapshots, observabilité avancée, gel des contrats d'interface) sont des raffinements d'industrialisation, pas des manques de fond.</w:t>
      </w:r>
    </w:p>
    <w:p>
      <w:pPr>
        <w:spacing w:after="120"/>
      </w:pPr>
      <w:r>
        <w:rPr>
          <w:b w:val="0"/>
          <w:i/>
          <w:sz w:val="21"/>
        </w:rPr>
        <w:t>En résumé : le projet a atteint le statut de « socle fonctionnel en données réelles, tracé, rejouable, déterministe sur ses calculs et correctement isolé ». Il colle à l'essentiel de ce que demande la roadmap ; ce qui reste relève de l'exploitation industrielle de pointe.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