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3314" w14:textId="77777777" w:rsidR="003B5575" w:rsidRDefault="003B5575"/>
    <w:p w14:paraId="242A5877" w14:textId="77777777" w:rsidR="003B5575" w:rsidRDefault="003B5575"/>
    <w:p w14:paraId="07908AAD" w14:textId="77777777" w:rsidR="003B5575" w:rsidRDefault="003B5575"/>
    <w:p w14:paraId="4F24C03A" w14:textId="77777777" w:rsidR="003B5575" w:rsidRDefault="00000000">
      <w:pPr>
        <w:jc w:val="center"/>
      </w:pPr>
      <w:r>
        <w:rPr>
          <w:b/>
          <w:color w:val="1F3864"/>
          <w:sz w:val="60"/>
        </w:rPr>
        <w:t>AUDIT DE CONFORMITÉ</w:t>
      </w:r>
    </w:p>
    <w:p w14:paraId="4FEF3F72" w14:textId="77777777" w:rsidR="003B5575" w:rsidRDefault="00000000">
      <w:pPr>
        <w:jc w:val="center"/>
      </w:pPr>
      <w:r>
        <w:rPr>
          <w:color w:val="2E75B6"/>
          <w:sz w:val="30"/>
        </w:rPr>
        <w:t>Analyse exhaustive des manques (gap analysis)</w:t>
      </w:r>
    </w:p>
    <w:p w14:paraId="2861D21B" w14:textId="77777777" w:rsidR="003B5575" w:rsidRDefault="00000000">
      <w:pPr>
        <w:jc w:val="center"/>
      </w:pPr>
      <w:r>
        <w:rPr>
          <w:i/>
          <w:sz w:val="22"/>
        </w:rPr>
        <w:t>Vol Risk Infrastructure  vs  Industrial Roadmap for a Volatility Infrastructure Platform (v4.0)</w:t>
      </w:r>
    </w:p>
    <w:p w14:paraId="4BC6198B" w14:textId="77777777" w:rsidR="003B5575" w:rsidRDefault="003B5575">
      <w:pPr>
        <w:pBdr>
          <w:bottom w:val="single" w:sz="12" w:space="1" w:color="2E75B6"/>
        </w:pBdr>
        <w:jc w:val="center"/>
      </w:pPr>
    </w:p>
    <w:p w14:paraId="09CECB22" w14:textId="77777777" w:rsidR="003B5575" w:rsidRDefault="003B5575"/>
    <w:p w14:paraId="5D537E76" w14:textId="77777777" w:rsidR="003B5575" w:rsidRDefault="003B557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3B5575" w14:paraId="29D0E049" w14:textId="77777777">
        <w:trPr>
          <w:jc w:val="center"/>
        </w:trPr>
        <w:tc>
          <w:tcPr>
            <w:tcW w:w="2592" w:type="dxa"/>
          </w:tcPr>
          <w:p w14:paraId="67276E06" w14:textId="77777777" w:rsidR="003B5575" w:rsidRDefault="00000000">
            <w:pPr>
              <w:spacing w:before="20" w:after="20"/>
              <w:jc w:val="right"/>
            </w:pPr>
            <w:r>
              <w:rPr>
                <w:b/>
                <w:color w:val="1F3864"/>
                <w:sz w:val="19"/>
              </w:rPr>
              <w:t>Périmètre</w:t>
            </w:r>
          </w:p>
        </w:tc>
        <w:tc>
          <w:tcPr>
            <w:tcW w:w="7200" w:type="dxa"/>
          </w:tcPr>
          <w:p w14:paraId="6EB4D15D" w14:textId="77777777" w:rsidR="003B5575" w:rsidRDefault="00000000">
            <w:pPr>
              <w:spacing w:before="20" w:after="20"/>
            </w:pPr>
            <w:r>
              <w:rPr>
                <w:sz w:val="19"/>
              </w:rPr>
              <w:t>16 étapes + framework mathématique + annexes (51 pages de roadmap)</w:t>
            </w:r>
          </w:p>
        </w:tc>
      </w:tr>
      <w:tr w:rsidR="003B5575" w14:paraId="53D2675A" w14:textId="77777777">
        <w:trPr>
          <w:jc w:val="center"/>
        </w:trPr>
        <w:tc>
          <w:tcPr>
            <w:tcW w:w="2592" w:type="dxa"/>
          </w:tcPr>
          <w:p w14:paraId="4D3921F7" w14:textId="77777777" w:rsidR="003B5575" w:rsidRDefault="00000000">
            <w:pPr>
              <w:spacing w:before="20" w:after="20"/>
              <w:jc w:val="right"/>
            </w:pPr>
            <w:r>
              <w:rPr>
                <w:b/>
                <w:color w:val="1F3864"/>
                <w:sz w:val="19"/>
              </w:rPr>
              <w:t>Base de code auditée</w:t>
            </w:r>
          </w:p>
        </w:tc>
        <w:tc>
          <w:tcPr>
            <w:tcW w:w="7200" w:type="dxa"/>
          </w:tcPr>
          <w:p w14:paraId="23D8EB95" w14:textId="77777777" w:rsidR="003B5575" w:rsidRDefault="00000000">
            <w:pPr>
              <w:spacing w:before="20" w:after="20"/>
            </w:pPr>
            <w:r>
              <w:rPr>
                <w:sz w:val="19"/>
              </w:rPr>
              <w:t>architecture_risque/ — ~30 modules, 56 tests, configs, docs/</w:t>
            </w:r>
          </w:p>
        </w:tc>
      </w:tr>
      <w:tr w:rsidR="003B5575" w14:paraId="502E76A8" w14:textId="77777777">
        <w:trPr>
          <w:jc w:val="center"/>
        </w:trPr>
        <w:tc>
          <w:tcPr>
            <w:tcW w:w="2592" w:type="dxa"/>
          </w:tcPr>
          <w:p w14:paraId="49D3D8B0" w14:textId="77777777" w:rsidR="003B5575" w:rsidRDefault="00000000">
            <w:pPr>
              <w:spacing w:before="20" w:after="20"/>
              <w:jc w:val="right"/>
            </w:pPr>
            <w:r>
              <w:rPr>
                <w:b/>
                <w:color w:val="1F3864"/>
                <w:sz w:val="19"/>
              </w:rPr>
              <w:t>Méthode</w:t>
            </w:r>
          </w:p>
        </w:tc>
        <w:tc>
          <w:tcPr>
            <w:tcW w:w="7200" w:type="dxa"/>
          </w:tcPr>
          <w:p w14:paraId="5F2CAE7A" w14:textId="77777777" w:rsidR="003B5575" w:rsidRDefault="00000000">
            <w:pPr>
              <w:spacing w:before="20" w:after="20"/>
            </w:pPr>
            <w:r>
              <w:rPr>
                <w:sz w:val="19"/>
              </w:rPr>
              <w:t>Lecture du code + grep sur l'intégralité du repo (src, pages, configs, tests, docs)</w:t>
            </w:r>
          </w:p>
        </w:tc>
      </w:tr>
      <w:tr w:rsidR="003B5575" w14:paraId="70137EED" w14:textId="77777777">
        <w:trPr>
          <w:jc w:val="center"/>
        </w:trPr>
        <w:tc>
          <w:tcPr>
            <w:tcW w:w="2592" w:type="dxa"/>
          </w:tcPr>
          <w:p w14:paraId="218AD9EF" w14:textId="77777777" w:rsidR="003B5575" w:rsidRDefault="00000000">
            <w:pPr>
              <w:spacing w:before="20" w:after="20"/>
              <w:jc w:val="right"/>
            </w:pPr>
            <w:r>
              <w:rPr>
                <w:b/>
                <w:color w:val="1F3864"/>
                <w:sz w:val="19"/>
              </w:rPr>
              <w:t>Verdict global</w:t>
            </w:r>
          </w:p>
        </w:tc>
        <w:tc>
          <w:tcPr>
            <w:tcW w:w="7200" w:type="dxa"/>
          </w:tcPr>
          <w:p w14:paraId="66D76390" w14:textId="77777777" w:rsidR="003B5575" w:rsidRDefault="00000000">
            <w:pPr>
              <w:spacing w:before="20" w:after="20"/>
            </w:pPr>
            <w:r>
              <w:rPr>
                <w:sz w:val="19"/>
              </w:rPr>
              <w:t>≈ 9 Conforme · 7 Partiel · 0 Faible (sur 16 étapes)</w:t>
            </w:r>
          </w:p>
        </w:tc>
      </w:tr>
      <w:tr w:rsidR="003B5575" w14:paraId="4F4B32DB" w14:textId="77777777">
        <w:trPr>
          <w:jc w:val="center"/>
        </w:trPr>
        <w:tc>
          <w:tcPr>
            <w:tcW w:w="2592" w:type="dxa"/>
          </w:tcPr>
          <w:p w14:paraId="36F92E5A" w14:textId="77777777" w:rsidR="003B5575" w:rsidRDefault="00000000">
            <w:pPr>
              <w:spacing w:before="20" w:after="20"/>
              <w:jc w:val="right"/>
            </w:pPr>
            <w:r>
              <w:rPr>
                <w:b/>
                <w:color w:val="1F3864"/>
                <w:sz w:val="19"/>
              </w:rPr>
              <w:t>Date</w:t>
            </w:r>
          </w:p>
        </w:tc>
        <w:tc>
          <w:tcPr>
            <w:tcW w:w="7200" w:type="dxa"/>
          </w:tcPr>
          <w:p w14:paraId="10740E09" w14:textId="77777777" w:rsidR="003B5575" w:rsidRDefault="00000000">
            <w:pPr>
              <w:spacing w:before="20" w:after="20"/>
            </w:pPr>
            <w:r>
              <w:rPr>
                <w:sz w:val="19"/>
              </w:rPr>
              <w:t>2026-06-05</w:t>
            </w:r>
          </w:p>
        </w:tc>
      </w:tr>
    </w:tbl>
    <w:p w14:paraId="12EACF42" w14:textId="77777777" w:rsidR="003B5575" w:rsidRDefault="003B5575"/>
    <w:p w14:paraId="551DC655" w14:textId="77777777" w:rsidR="003B5575" w:rsidRDefault="00000000">
      <w:pPr>
        <w:spacing w:after="80"/>
      </w:pPr>
      <w:r>
        <w:rPr>
          <w:i/>
          <w:sz w:val="19"/>
        </w:rPr>
        <w:t>Note de cadrage. Ce document liste ce qui MANQUE par rapport à la roadmap. Les briques déjà conformes (framework mathématique Eq.1–21/24/25, solveur d'IV, pricing BS-76 + CRR, architecture 2-process, lineage, docs opérationnelles) ne sont rappelées que brièvement. Chaque manque est étayé par une preuve (fichier:ligne) et classé : Manquant (rien) · Partiel (existe mais incomplet) · Mineur.</w:t>
      </w:r>
    </w:p>
    <w:p w14:paraId="724E7CEC" w14:textId="77777777" w:rsidR="003B5575" w:rsidRDefault="00000000">
      <w:pPr>
        <w:spacing w:after="120"/>
      </w:pPr>
      <w:r>
        <w:rPr>
          <w:i/>
          <w:color w:val="E65100"/>
          <w:sz w:val="19"/>
        </w:rPr>
        <w:t>Correction de méthode. Une première passe avait conclu à tort à l'absence du dossier docs/ (erreur de glob). Après vérification, docs/ existe et couvre l'essentiel de l'étape 16 ; le présent rapport intègre cette correction.</w:t>
      </w:r>
    </w:p>
    <w:p w14:paraId="481B65F7" w14:textId="77777777" w:rsidR="003B5575" w:rsidRDefault="00000000">
      <w:r>
        <w:br w:type="page"/>
      </w:r>
    </w:p>
    <w:sdt>
      <w:sdtPr>
        <w:rPr>
          <w:lang w:val="fr-FR"/>
        </w:rPr>
        <w:id w:val="405808500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1"/>
          <w:szCs w:val="22"/>
          <w:lang w:val="en-US"/>
        </w:rPr>
      </w:sdtEndPr>
      <w:sdtContent>
        <w:p w14:paraId="603A29F3" w14:textId="0E66FF6B" w:rsidR="00E75897" w:rsidRDefault="00E75897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1684A89" w14:textId="5D97B6EE" w:rsidR="00E75897" w:rsidRDefault="00E75897">
          <w:pPr>
            <w:pStyle w:val="TM1"/>
            <w:tabs>
              <w:tab w:val="right" w:leader="dot" w:pos="988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53402" w:history="1">
            <w:r w:rsidRPr="00DC5586">
              <w:rPr>
                <w:rStyle w:val="Lienhypertexte"/>
                <w:noProof/>
              </w:rPr>
              <w:t>Sommaire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057B0" w14:textId="788CA177" w:rsidR="00E75897" w:rsidRDefault="00E75897">
          <w:pPr>
            <w:pStyle w:val="TM1"/>
            <w:tabs>
              <w:tab w:val="right" w:leader="dot" w:pos="9880"/>
            </w:tabs>
            <w:rPr>
              <w:noProof/>
            </w:rPr>
          </w:pPr>
          <w:hyperlink w:anchor="_Toc231553403" w:history="1">
            <w:r w:rsidRPr="00DC5586">
              <w:rPr>
                <w:rStyle w:val="Lienhypertexte"/>
                <w:noProof/>
              </w:rPr>
              <w:t>1. Synthèse exécutive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E6C3" w14:textId="22896ED0" w:rsidR="00E75897" w:rsidRDefault="00E75897">
          <w:pPr>
            <w:pStyle w:val="TM1"/>
            <w:tabs>
              <w:tab w:val="right" w:leader="dot" w:pos="9880"/>
            </w:tabs>
            <w:rPr>
              <w:noProof/>
            </w:rPr>
          </w:pPr>
          <w:hyperlink w:anchor="_Toc231553404" w:history="1">
            <w:r w:rsidRPr="00DC5586">
              <w:rPr>
                <w:rStyle w:val="Lienhypertexte"/>
                <w:noProof/>
              </w:rPr>
              <w:t>2. Ce qui est complet (acquis du projet)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188ED" w14:textId="260CF196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05" w:history="1">
            <w:r w:rsidRPr="00DC5586">
              <w:rPr>
                <w:rStyle w:val="Lienhypertexte"/>
                <w:noProof/>
              </w:rPr>
              <w:t>2.1  Framework mathématique — 23 des 25 équations implémentées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CDE1" w14:textId="71667818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06" w:history="1">
            <w:r w:rsidRPr="00DC5586">
              <w:rPr>
                <w:rStyle w:val="Lienhypertexte"/>
                <w:noProof/>
              </w:rPr>
              <w:t>2.2  Couches &amp; étapes opérationnelles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D0C27" w14:textId="1B6CA698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07" w:history="1">
            <w:r w:rsidRPr="00DC5586">
              <w:rPr>
                <w:rStyle w:val="Lienhypertexte"/>
                <w:noProof/>
              </w:rPr>
              <w:t>2.3  Au-dessus du minimum exigé (différenciateurs à valoriser)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FEBA" w14:textId="5719B9C6" w:rsidR="00E75897" w:rsidRDefault="00E75897">
          <w:pPr>
            <w:pStyle w:val="TM1"/>
            <w:tabs>
              <w:tab w:val="right" w:leader="dot" w:pos="9880"/>
            </w:tabs>
            <w:rPr>
              <w:noProof/>
            </w:rPr>
          </w:pPr>
          <w:hyperlink w:anchor="_Toc231553408" w:history="1">
            <w:r w:rsidRPr="00DC5586">
              <w:rPr>
                <w:rStyle w:val="Lienhypertexte"/>
                <w:noProof/>
              </w:rPr>
              <w:t>3. Tableau de synthèse — 16 étapes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3CEC9" w14:textId="32585B46" w:rsidR="00E75897" w:rsidRDefault="00E75897">
          <w:pPr>
            <w:pStyle w:val="TM1"/>
            <w:tabs>
              <w:tab w:val="right" w:leader="dot" w:pos="9880"/>
            </w:tabs>
            <w:rPr>
              <w:noProof/>
            </w:rPr>
          </w:pPr>
          <w:hyperlink w:anchor="_Toc231553409" w:history="1">
            <w:r w:rsidRPr="00DC5586">
              <w:rPr>
                <w:rStyle w:val="Lienhypertexte"/>
                <w:noProof/>
              </w:rPr>
              <w:t>4. Détail des manques, étape par étape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0A4C0" w14:textId="0D839F5A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10" w:history="1">
            <w:r w:rsidRPr="00DC5586">
              <w:rPr>
                <w:rStyle w:val="Lienhypertexte"/>
                <w:noProof/>
              </w:rPr>
              <w:t>Étape 1 — Accès, environnements et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D2846" w14:textId="3ED3DA48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11" w:history="1">
            <w:r w:rsidRPr="00DC5586">
              <w:rPr>
                <w:rStyle w:val="Lienhypertexte"/>
                <w:noProof/>
              </w:rPr>
              <w:t>Étape 2 — Instrument master &amp;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ED0D" w14:textId="58883AB2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12" w:history="1">
            <w:r w:rsidRPr="00DC5586">
              <w:rPr>
                <w:rStyle w:val="Lienhypertexte"/>
                <w:noProof/>
              </w:rPr>
              <w:t>Étape 3 — Ingestion market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913F1" w14:textId="314A087F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13" w:history="1">
            <w:r w:rsidRPr="00DC5586">
              <w:rPr>
                <w:rStyle w:val="Lienhypertexte"/>
                <w:noProof/>
              </w:rPr>
              <w:t>Étape 4 — Stockage persistant &amp;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EE716" w14:textId="7FF6BE60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14" w:history="1">
            <w:r w:rsidRPr="00DC5586">
              <w:rPr>
                <w:rStyle w:val="Lienhypertexte"/>
                <w:noProof/>
              </w:rPr>
              <w:t>Étape 5 — Spot builder &amp; snapshots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3E4FF" w14:textId="67601F4C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15" w:history="1">
            <w:r w:rsidRPr="00DC5586">
              <w:rPr>
                <w:rStyle w:val="Lienhypertexte"/>
                <w:noProof/>
              </w:rPr>
              <w:t>Étape 6 — Forward &amp; implied carry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F8B6" w14:textId="509193B6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16" w:history="1">
            <w:r w:rsidRPr="00DC5586">
              <w:rPr>
                <w:rStyle w:val="Lienhypertexte"/>
                <w:noProof/>
              </w:rPr>
              <w:t>Étape 7 — Normalisation &amp; QC des quotes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0B13" w14:textId="59B8CE11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17" w:history="1">
            <w:r w:rsidRPr="00DC5586">
              <w:rPr>
                <w:rStyle w:val="Lienhypertexte"/>
                <w:noProof/>
              </w:rPr>
              <w:t>Étape 8 — Solveur d'IV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3B124" w14:textId="4E74A60E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18" w:history="1">
            <w:r w:rsidRPr="00DC5586">
              <w:rPr>
                <w:rStyle w:val="Lienhypertexte"/>
                <w:noProof/>
              </w:rPr>
              <w:t>Étape 9 — Surface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F98BA" w14:textId="3894E272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19" w:history="1">
            <w:r w:rsidRPr="00DC5586">
              <w:rPr>
                <w:rStyle w:val="Lienhypertexte"/>
                <w:noProof/>
              </w:rPr>
              <w:t>Étape 10 — Pricing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311ED" w14:textId="5966F45B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20" w:history="1">
            <w:r w:rsidRPr="00DC5586">
              <w:rPr>
                <w:rStyle w:val="Lienhypertexte"/>
                <w:noProof/>
              </w:rPr>
              <w:t>Étape 11 — Greeks &amp; per-position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3A2B1" w14:textId="25CD7F96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21" w:history="1">
            <w:r w:rsidRPr="00DC5586">
              <w:rPr>
                <w:rStyle w:val="Lienhypertexte"/>
                <w:noProof/>
              </w:rPr>
              <w:t>Étape 12 — Scénario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521DD" w14:textId="580D7162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22" w:history="1">
            <w:r w:rsidRPr="00DC5586">
              <w:rPr>
                <w:rStyle w:val="Lienhypertexte"/>
                <w:noProof/>
              </w:rPr>
              <w:t>Étape 13 — Reconstruction historique &amp; replay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F2A8" w14:textId="68DC79CE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23" w:history="1">
            <w:r w:rsidRPr="00DC5586">
              <w:rPr>
                <w:rStyle w:val="Lienhypertexte"/>
                <w:noProof/>
              </w:rPr>
              <w:t>Étape 14 — Validation framework &amp; anomalies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9C290" w14:textId="5DFE5B83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24" w:history="1">
            <w:r w:rsidRPr="00DC5586">
              <w:rPr>
                <w:rStyle w:val="Lienhypertexte"/>
                <w:noProof/>
              </w:rPr>
              <w:t>Étape 15 — Orchestration, logging &amp; observabilité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FC9C" w14:textId="43EAE5CE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25" w:history="1">
            <w:r w:rsidRPr="00DC5586">
              <w:rPr>
                <w:rStyle w:val="Lienhypertexte"/>
                <w:noProof/>
              </w:rPr>
              <w:t>Étape 16 — Handover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CAE8A" w14:textId="0FD4C62A" w:rsidR="00E75897" w:rsidRDefault="00E75897">
          <w:pPr>
            <w:pStyle w:val="TM1"/>
            <w:tabs>
              <w:tab w:val="right" w:leader="dot" w:pos="9880"/>
            </w:tabs>
            <w:rPr>
              <w:noProof/>
            </w:rPr>
          </w:pPr>
          <w:hyperlink w:anchor="_Toc231553426" w:history="1">
            <w:r w:rsidRPr="00DC5586">
              <w:rPr>
                <w:rStyle w:val="Lienhypertexte"/>
                <w:noProof/>
              </w:rPr>
              <w:t>5. Liste exhaustive des manques, par thème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8AA6" w14:textId="036ABE2B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27" w:history="1">
            <w:r w:rsidRPr="00DC5586">
              <w:rPr>
                <w:rStyle w:val="Lienhypertexte"/>
                <w:noProof/>
              </w:rPr>
              <w:t>A. Briques mathématiques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3C3B8" w14:textId="06FCF6BE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28" w:history="1">
            <w:r w:rsidRPr="00DC5586">
              <w:rPr>
                <w:rStyle w:val="Lienhypertexte"/>
                <w:noProof/>
              </w:rPr>
              <w:t>B. Tables du store jamais écrites (Part III.C)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83346" w14:textId="5CA1B023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29" w:history="1">
            <w:r w:rsidRPr="00DC5586">
              <w:rPr>
                <w:rStyle w:val="Lienhypertexte"/>
                <w:noProof/>
              </w:rPr>
              <w:t>C. Réconciliations &amp; checks QC manquants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3DE91" w14:textId="0D8C1A34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30" w:history="1">
            <w:r w:rsidRPr="00DC5586">
              <w:rPr>
                <w:rStyle w:val="Lienhypertexte"/>
                <w:noProof/>
              </w:rPr>
              <w:t>D. Diagnostics calculés mais non persistés (auditabilité)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E4E38" w14:textId="7797F39B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31" w:history="1">
            <w:r w:rsidRPr="00DC5586">
              <w:rPr>
                <w:rStyle w:val="Lienhypertexte"/>
                <w:noProof/>
              </w:rPr>
              <w:t>E. Pipeline &amp; données — comportements incomplets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A9C3" w14:textId="39161649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32" w:history="1">
            <w:r w:rsidRPr="00DC5586">
              <w:rPr>
                <w:rStyle w:val="Lienhypertexte"/>
                <w:noProof/>
              </w:rPr>
              <w:t>F. Stratégie de tests — 3 couches sur 4 absentes (Part IV.E)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C7B7F" w14:textId="05F41BBA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33" w:history="1">
            <w:r w:rsidRPr="00DC5586">
              <w:rPr>
                <w:rStyle w:val="Lienhypertexte"/>
                <w:noProof/>
              </w:rPr>
              <w:t>G. Industrialisation / observabilité (Step 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B94A" w14:textId="076FE0F5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34" w:history="1">
            <w:r w:rsidRPr="00DC5586">
              <w:rPr>
                <w:rStyle w:val="Lienhypertexte"/>
                <w:noProof/>
              </w:rPr>
              <w:t>H. Points mineurs divers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312FD" w14:textId="6352F358" w:rsidR="00E75897" w:rsidRDefault="00E75897">
          <w:pPr>
            <w:pStyle w:val="TM1"/>
            <w:tabs>
              <w:tab w:val="right" w:leader="dot" w:pos="9880"/>
            </w:tabs>
            <w:rPr>
              <w:noProof/>
            </w:rPr>
          </w:pPr>
          <w:hyperlink w:anchor="_Toc231553435" w:history="1">
            <w:r w:rsidRPr="00DC5586">
              <w:rPr>
                <w:rStyle w:val="Lienhypertexte"/>
                <w:noProof/>
              </w:rPr>
              <w:t>6. Backlog priorisé pour fermer l'écart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C5C36" w14:textId="59816FB8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36" w:history="1">
            <w:r w:rsidRPr="00DC5586">
              <w:rPr>
                <w:rStyle w:val="Lienhypertexte"/>
                <w:noProof/>
              </w:rPr>
              <w:t>P0 — fort signal, faible coût (à exiger en premier)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5777" w14:textId="23CFAA54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37" w:history="1">
            <w:r w:rsidRPr="00DC5586">
              <w:rPr>
                <w:rStyle w:val="Lienhypertexte"/>
                <w:noProof/>
              </w:rPr>
              <w:t>P1 — checks &amp; réconciliations exigés explicitement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2D86" w14:textId="7936FBE6" w:rsidR="00E75897" w:rsidRDefault="00E75897">
          <w:pPr>
            <w:pStyle w:val="TM2"/>
            <w:tabs>
              <w:tab w:val="right" w:leader="dot" w:pos="9880"/>
            </w:tabs>
            <w:rPr>
              <w:noProof/>
            </w:rPr>
          </w:pPr>
          <w:hyperlink w:anchor="_Toc231553438" w:history="1">
            <w:r w:rsidRPr="00DC5586">
              <w:rPr>
                <w:rStyle w:val="Lienhypertexte"/>
                <w:noProof/>
              </w:rPr>
              <w:t>P2 — industrialisation &amp; complétude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83688" w14:textId="4D6A9F1D" w:rsidR="00E75897" w:rsidRDefault="00E75897">
          <w:r>
            <w:rPr>
              <w:b/>
              <w:bCs/>
            </w:rPr>
            <w:fldChar w:fldCharType="end"/>
          </w:r>
        </w:p>
      </w:sdtContent>
    </w:sdt>
    <w:p w14:paraId="63A1657B" w14:textId="77777777" w:rsidR="003B5575" w:rsidRDefault="00000000">
      <w:pPr>
        <w:pStyle w:val="Titre1"/>
      </w:pPr>
      <w:bookmarkStart w:id="0" w:name="_Toc231553403"/>
      <w:r>
        <w:rPr>
          <w:rFonts w:ascii="Calibri" w:hAnsi="Calibri"/>
          <w:color w:val="1F3864"/>
        </w:rPr>
        <w:t>1. Synthèse exécutive</w:t>
      </w:r>
      <w:bookmarkEnd w:id="0"/>
    </w:p>
    <w:p w14:paraId="41BF1CE4" w14:textId="77777777" w:rsidR="003B5575" w:rsidRDefault="00000000">
      <w:pPr>
        <w:spacing w:after="120"/>
      </w:pPr>
      <w:r>
        <w:t>Le socle quantitatif et l'architecture sont solides — souvent au-dessus du minimum exigé (no-arbitrage papillon, inversion d'IV américaine, anomaly detection, isolation collecteur/dashboard). L'écart de conformité se concentre sur trois familles :</w:t>
      </w:r>
    </w:p>
    <w:p w14:paraId="5BC41E4F" w14:textId="77777777" w:rsidR="003B5575" w:rsidRDefault="00000000">
      <w:pPr>
        <w:pStyle w:val="Listepuces"/>
        <w:spacing w:after="60"/>
      </w:pPr>
      <w:r>
        <w:rPr>
          <w:b/>
          <w:sz w:val="20"/>
        </w:rPr>
        <w:t xml:space="preserve">Persistance — </w:t>
      </w:r>
      <w:r>
        <w:rPr>
          <w:sz w:val="20"/>
        </w:rPr>
        <w:t>la PERSISTANCE : 3 tables du modèle de données ne sont jamais écrites, et plusieurs diagnostics (candidats de forward, points rejetés, paramètres SVI) sont calculés mais perdus.</w:t>
      </w:r>
    </w:p>
    <w:p w14:paraId="0DCBA17B" w14:textId="77777777" w:rsidR="003B5575" w:rsidRDefault="00000000">
      <w:pPr>
        <w:pStyle w:val="Listepuces"/>
        <w:spacing w:after="60"/>
      </w:pPr>
      <w:r>
        <w:rPr>
          <w:b/>
          <w:sz w:val="20"/>
        </w:rPr>
        <w:t xml:space="preserve">Réconciliations — </w:t>
      </w:r>
      <w:r>
        <w:rPr>
          <w:sz w:val="20"/>
        </w:rPr>
        <w:t>les RÉCONCILIATIONS : ni finite-difference vs analytique, ni Greeks broker vs plateforme, alors que les deux sont exigées explicitement (étape 11 + QC « Greek sanity »).</w:t>
      </w:r>
    </w:p>
    <w:p w14:paraId="57FEAAEC" w14:textId="77777777" w:rsidR="003B5575" w:rsidRDefault="00000000">
      <w:pPr>
        <w:pStyle w:val="Listepuces"/>
        <w:spacing w:after="60"/>
      </w:pPr>
      <w:r>
        <w:rPr>
          <w:b/>
          <w:sz w:val="20"/>
        </w:rPr>
        <w:t xml:space="preserve">Industrialisation — </w:t>
      </w:r>
      <w:r>
        <w:rPr>
          <w:sz w:val="20"/>
        </w:rPr>
        <w:t>l'INDUSTRIALISATION : pas de scheduler système, pas de correlation IDs, pas de routage d'alertes externe, et seule la couche 1 (tests unitaires) des 4 couches de tests existe.</w:t>
      </w:r>
    </w:p>
    <w:p w14:paraId="5FF00543" w14:textId="77777777" w:rsidR="003B5575" w:rsidRDefault="00000000">
      <w:pPr>
        <w:spacing w:after="40"/>
      </w:pPr>
      <w:r>
        <w:rPr>
          <w:b/>
          <w:sz w:val="23"/>
        </w:rPr>
        <w:t>Décompte des manques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2160"/>
        <w:gridCol w:w="2016"/>
      </w:tblGrid>
      <w:tr w:rsidR="003B5575" w14:paraId="4E8C7246" w14:textId="77777777">
        <w:trPr>
          <w:jc w:val="center"/>
        </w:trPr>
        <w:tc>
          <w:tcPr>
            <w:tcW w:w="5760" w:type="dxa"/>
            <w:shd w:val="clear" w:color="auto" w:fill="1F3864"/>
            <w:vAlign w:val="center"/>
          </w:tcPr>
          <w:p w14:paraId="1606B9E7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Catégorie de manque</w:t>
            </w:r>
          </w:p>
        </w:tc>
        <w:tc>
          <w:tcPr>
            <w:tcW w:w="2160" w:type="dxa"/>
            <w:shd w:val="clear" w:color="auto" w:fill="1F3864"/>
            <w:vAlign w:val="center"/>
          </w:tcPr>
          <w:p w14:paraId="1B168F3D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2016" w:type="dxa"/>
            <w:shd w:val="clear" w:color="auto" w:fill="1F3864"/>
            <w:vAlign w:val="center"/>
          </w:tcPr>
          <w:p w14:paraId="4B81D31A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Gravité</w:t>
            </w:r>
          </w:p>
        </w:tc>
      </w:tr>
      <w:tr w:rsidR="003B5575" w14:paraId="2844AA35" w14:textId="77777777">
        <w:trPr>
          <w:jc w:val="center"/>
        </w:trPr>
        <w:tc>
          <w:tcPr>
            <w:tcW w:w="5760" w:type="dxa"/>
            <w:vAlign w:val="center"/>
          </w:tcPr>
          <w:p w14:paraId="7D08BB7F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Manquant (aucune implémentation)</w:t>
            </w:r>
          </w:p>
        </w:tc>
        <w:tc>
          <w:tcPr>
            <w:tcW w:w="2160" w:type="dxa"/>
            <w:vAlign w:val="center"/>
          </w:tcPr>
          <w:p w14:paraId="530DEFB2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16</w:t>
            </w:r>
          </w:p>
        </w:tc>
        <w:tc>
          <w:tcPr>
            <w:tcW w:w="2016" w:type="dxa"/>
            <w:shd w:val="clear" w:color="auto" w:fill="B71C1C"/>
            <w:vAlign w:val="center"/>
          </w:tcPr>
          <w:p w14:paraId="58B1638B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Manquant</w:t>
            </w:r>
          </w:p>
        </w:tc>
      </w:tr>
      <w:tr w:rsidR="003B5575" w14:paraId="338152A3" w14:textId="77777777">
        <w:trPr>
          <w:jc w:val="center"/>
        </w:trPr>
        <w:tc>
          <w:tcPr>
            <w:tcW w:w="5760" w:type="dxa"/>
            <w:vAlign w:val="center"/>
          </w:tcPr>
          <w:p w14:paraId="6D427D81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Partiel (existe mais incomplet)</w:t>
            </w:r>
          </w:p>
        </w:tc>
        <w:tc>
          <w:tcPr>
            <w:tcW w:w="2160" w:type="dxa"/>
            <w:vAlign w:val="center"/>
          </w:tcPr>
          <w:p w14:paraId="2AD5BE4B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≈ 10</w:t>
            </w:r>
          </w:p>
        </w:tc>
        <w:tc>
          <w:tcPr>
            <w:tcW w:w="2016" w:type="dxa"/>
            <w:shd w:val="clear" w:color="auto" w:fill="E65100"/>
            <w:vAlign w:val="center"/>
          </w:tcPr>
          <w:p w14:paraId="64F2039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Partiel</w:t>
            </w:r>
          </w:p>
        </w:tc>
      </w:tr>
      <w:tr w:rsidR="003B5575" w14:paraId="5200452F" w14:textId="77777777">
        <w:trPr>
          <w:jc w:val="center"/>
        </w:trPr>
        <w:tc>
          <w:tcPr>
            <w:tcW w:w="5760" w:type="dxa"/>
            <w:vAlign w:val="center"/>
          </w:tcPr>
          <w:p w14:paraId="034BFE53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Mineur</w:t>
            </w:r>
          </w:p>
        </w:tc>
        <w:tc>
          <w:tcPr>
            <w:tcW w:w="2160" w:type="dxa"/>
            <w:vAlign w:val="center"/>
          </w:tcPr>
          <w:p w14:paraId="15687818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≈ 12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63D3DE33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Mineur</w:t>
            </w:r>
          </w:p>
        </w:tc>
      </w:tr>
    </w:tbl>
    <w:p w14:paraId="6F6B032C" w14:textId="77777777" w:rsidR="003B5575" w:rsidRDefault="003B5575">
      <w:pPr>
        <w:spacing w:after="120"/>
      </w:pPr>
    </w:p>
    <w:p w14:paraId="7765ACC9" w14:textId="77777777" w:rsidR="003B5575" w:rsidRDefault="00000000">
      <w:pPr>
        <w:spacing w:after="120"/>
      </w:pPr>
      <w:r>
        <w:rPr>
          <w:sz w:val="20"/>
        </w:rPr>
        <w:t>Comparaison avec l'auto-audit du projet. Vos scripts internes (scripts/generate_audit_v2.py) classent 14 étapes « Conforme » et 2 « Partiel ». L'audit indépendant est plus sévère (≈ 9 Conforme / 7 Partiel) : plusieurs étapes marquées « Conforme » comportent des trous vérifiables — notamment l'étape 9 (« grille + params » alors que les paramètres SVI ne sont jamais persistés) et l'étape 11 (« réconciliation broker » revendiquée alors qu'elle n'existe pas dans le code).</w:t>
      </w:r>
    </w:p>
    <w:p w14:paraId="12A29A53" w14:textId="77777777" w:rsidR="003B5575" w:rsidRDefault="00000000">
      <w:r>
        <w:br w:type="page"/>
      </w:r>
    </w:p>
    <w:p w14:paraId="03072D02" w14:textId="77777777" w:rsidR="003B5575" w:rsidRDefault="00000000">
      <w:pPr>
        <w:pStyle w:val="Titre1"/>
      </w:pPr>
      <w:bookmarkStart w:id="1" w:name="_Toc231553404"/>
      <w:r>
        <w:rPr>
          <w:rFonts w:ascii="Calibri" w:hAnsi="Calibri"/>
          <w:color w:val="1F3864"/>
        </w:rPr>
        <w:lastRenderedPageBreak/>
        <w:t>2. Ce qui est complet (acquis du projet)</w:t>
      </w:r>
      <w:bookmarkEnd w:id="1"/>
    </w:p>
    <w:p w14:paraId="45566ACF" w14:textId="77777777" w:rsidR="003B5575" w:rsidRDefault="00000000">
      <w:pPr>
        <w:spacing w:after="160"/>
      </w:pPr>
      <w:r>
        <w:t>Vue synthétique de ce qui est livré et opérationnel — la majorité de la pile. À lire avant la liste des manques : l'ossature data → forward → IV → surface → pricing → risk → scénarios → QC est en place de bout en bout.</w:t>
      </w:r>
    </w:p>
    <w:p w14:paraId="1F4C732D" w14:textId="77777777" w:rsidR="003B5575" w:rsidRDefault="00000000">
      <w:pPr>
        <w:pStyle w:val="Titre2"/>
      </w:pPr>
      <w:bookmarkStart w:id="2" w:name="_Toc231553405"/>
      <w:r>
        <w:rPr>
          <w:rFonts w:ascii="Calibri" w:hAnsi="Calibri"/>
          <w:color w:val="2E75B6"/>
        </w:rPr>
        <w:t>2.1  Framework mathématique — 23 des 25 équations implémentées</w:t>
      </w:r>
      <w:bookmarkEnd w:id="2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3024"/>
        <w:gridCol w:w="1440"/>
      </w:tblGrid>
      <w:tr w:rsidR="003B5575" w14:paraId="378A5369" w14:textId="77777777">
        <w:trPr>
          <w:jc w:val="center"/>
        </w:trPr>
        <w:tc>
          <w:tcPr>
            <w:tcW w:w="5040" w:type="dxa"/>
            <w:shd w:val="clear" w:color="auto" w:fill="1F3864"/>
            <w:vAlign w:val="center"/>
          </w:tcPr>
          <w:p w14:paraId="52EB4603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Bloc mathématique</w:t>
            </w:r>
          </w:p>
        </w:tc>
        <w:tc>
          <w:tcPr>
            <w:tcW w:w="3024" w:type="dxa"/>
            <w:shd w:val="clear" w:color="auto" w:fill="1F3864"/>
            <w:vAlign w:val="center"/>
          </w:tcPr>
          <w:p w14:paraId="26E9B191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Équations</w:t>
            </w:r>
          </w:p>
        </w:tc>
        <w:tc>
          <w:tcPr>
            <w:tcW w:w="1440" w:type="dxa"/>
            <w:shd w:val="clear" w:color="auto" w:fill="1F3864"/>
            <w:vAlign w:val="center"/>
          </w:tcPr>
          <w:p w14:paraId="6E4DBE4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3B5575" w14:paraId="0D0BD62F" w14:textId="77777777">
        <w:trPr>
          <w:jc w:val="center"/>
        </w:trPr>
        <w:tc>
          <w:tcPr>
            <w:tcW w:w="5040" w:type="dxa"/>
            <w:vAlign w:val="center"/>
          </w:tcPr>
          <w:p w14:paraId="50AEA8E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Spot, forward &amp; carry</w:t>
            </w:r>
          </w:p>
        </w:tc>
        <w:tc>
          <w:tcPr>
            <w:tcW w:w="3024" w:type="dxa"/>
            <w:vAlign w:val="center"/>
          </w:tcPr>
          <w:p w14:paraId="579283E0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Eq.1 – Eq.5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2ADA2009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2A2E6AB0" w14:textId="77777777">
        <w:trPr>
          <w:jc w:val="center"/>
        </w:trPr>
        <w:tc>
          <w:tcPr>
            <w:tcW w:w="5040" w:type="dxa"/>
            <w:vAlign w:val="center"/>
          </w:tcPr>
          <w:p w14:paraId="1A24858B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Log-moneyness &amp; variance totale</w:t>
            </w:r>
          </w:p>
        </w:tc>
        <w:tc>
          <w:tcPr>
            <w:tcW w:w="3024" w:type="dxa"/>
            <w:vAlign w:val="center"/>
          </w:tcPr>
          <w:p w14:paraId="0623EF61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Eq.6 – Eq.7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2BA31376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4C36F6BF" w14:textId="77777777">
        <w:trPr>
          <w:jc w:val="center"/>
        </w:trPr>
        <w:tc>
          <w:tcPr>
            <w:tcW w:w="5040" w:type="dxa"/>
            <w:vAlign w:val="center"/>
          </w:tcPr>
          <w:p w14:paraId="51BFAD1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Pricing européen (Black-76)</w:t>
            </w:r>
          </w:p>
        </w:tc>
        <w:tc>
          <w:tcPr>
            <w:tcW w:w="3024" w:type="dxa"/>
            <w:vAlign w:val="center"/>
          </w:tcPr>
          <w:p w14:paraId="41602C50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Eq.8 – Eq.11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2190D48D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0422588C" w14:textId="77777777">
        <w:trPr>
          <w:jc w:val="center"/>
        </w:trPr>
        <w:tc>
          <w:tcPr>
            <w:tcW w:w="5040" w:type="dxa"/>
            <w:vAlign w:val="center"/>
          </w:tcPr>
          <w:p w14:paraId="73A4C8D6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Pricing américain (arbre CRR)</w:t>
            </w:r>
          </w:p>
        </w:tc>
        <w:tc>
          <w:tcPr>
            <w:tcW w:w="3024" w:type="dxa"/>
            <w:vAlign w:val="center"/>
          </w:tcPr>
          <w:p w14:paraId="13B9B693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Eq.12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569DF08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60EB8FBD" w14:textId="77777777">
        <w:trPr>
          <w:jc w:val="center"/>
        </w:trPr>
        <w:tc>
          <w:tcPr>
            <w:tcW w:w="5040" w:type="dxa"/>
            <w:vAlign w:val="center"/>
          </w:tcPr>
          <w:p w14:paraId="34ABA7FC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Greeks analytiques (Δ, Γ, ν, Θ, $Γ, $ν)</w:t>
            </w:r>
          </w:p>
        </w:tc>
        <w:tc>
          <w:tcPr>
            <w:tcW w:w="3024" w:type="dxa"/>
            <w:vAlign w:val="center"/>
          </w:tcPr>
          <w:p w14:paraId="38584012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Eq.13 – Eq.18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2C9EBDF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08B238C6" w14:textId="77777777">
        <w:trPr>
          <w:jc w:val="center"/>
        </w:trPr>
        <w:tc>
          <w:tcPr>
            <w:tcW w:w="5040" w:type="dxa"/>
            <w:vAlign w:val="center"/>
          </w:tcPr>
          <w:p w14:paraId="47F6370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Approximation de PnL par les Greeks</w:t>
            </w:r>
          </w:p>
        </w:tc>
        <w:tc>
          <w:tcPr>
            <w:tcW w:w="3024" w:type="dxa"/>
            <w:vAlign w:val="center"/>
          </w:tcPr>
          <w:p w14:paraId="4BA9DA90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Eq.19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4E32AA0B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06135CD7" w14:textId="77777777">
        <w:trPr>
          <w:jc w:val="center"/>
        </w:trPr>
        <w:tc>
          <w:tcPr>
            <w:tcW w:w="5040" w:type="dxa"/>
            <w:vAlign w:val="center"/>
          </w:tcPr>
          <w:p w14:paraId="3838B010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Surface SVI &amp; monotonie calendaire</w:t>
            </w:r>
          </w:p>
        </w:tc>
        <w:tc>
          <w:tcPr>
            <w:tcW w:w="3024" w:type="dxa"/>
            <w:vAlign w:val="center"/>
          </w:tcPr>
          <w:p w14:paraId="71C72F20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Eq.20 – Eq.21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0167CC40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3624836E" w14:textId="77777777">
        <w:trPr>
          <w:jc w:val="center"/>
        </w:trPr>
        <w:tc>
          <w:tcPr>
            <w:tcW w:w="5040" w:type="dxa"/>
            <w:vAlign w:val="center"/>
          </w:tcPr>
          <w:p w14:paraId="2FDD5051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Stats robustes (MAD) &amp; diagnostics spread/mid</w:t>
            </w:r>
          </w:p>
        </w:tc>
        <w:tc>
          <w:tcPr>
            <w:tcW w:w="3024" w:type="dxa"/>
            <w:vAlign w:val="center"/>
          </w:tcPr>
          <w:p w14:paraId="585EF8D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Eq.24 – Eq.25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4E7D409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</w:tbl>
    <w:p w14:paraId="31D2D5E0" w14:textId="77777777" w:rsidR="003B5575" w:rsidRDefault="00000000">
      <w:pPr>
        <w:spacing w:after="160"/>
      </w:pPr>
      <w:r>
        <w:rPr>
          <w:i/>
          <w:sz w:val="18"/>
        </w:rPr>
        <w:t>Seules manquent Eq.22 (interpolation de variance cross-maturité) et Eq.23 (variance de panier) — soit 23/25.</w:t>
      </w:r>
    </w:p>
    <w:p w14:paraId="0063ADB9" w14:textId="77777777" w:rsidR="003B5575" w:rsidRDefault="00000000">
      <w:pPr>
        <w:pStyle w:val="Titre2"/>
      </w:pPr>
      <w:bookmarkStart w:id="3" w:name="_Toc231553406"/>
      <w:r>
        <w:rPr>
          <w:rFonts w:ascii="Calibri" w:hAnsi="Calibri"/>
          <w:color w:val="2E75B6"/>
        </w:rPr>
        <w:t>2.2  Couches &amp; étapes opérationnelles</w:t>
      </w:r>
      <w:bookmarkEnd w:id="3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5760"/>
        <w:gridCol w:w="1440"/>
      </w:tblGrid>
      <w:tr w:rsidR="003B5575" w14:paraId="5BC94CA6" w14:textId="77777777">
        <w:trPr>
          <w:jc w:val="center"/>
        </w:trPr>
        <w:tc>
          <w:tcPr>
            <w:tcW w:w="2736" w:type="dxa"/>
            <w:shd w:val="clear" w:color="auto" w:fill="1F3864"/>
            <w:vAlign w:val="center"/>
          </w:tcPr>
          <w:p w14:paraId="0B0C404B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Couche / étape</w:t>
            </w:r>
          </w:p>
        </w:tc>
        <w:tc>
          <w:tcPr>
            <w:tcW w:w="5760" w:type="dxa"/>
            <w:shd w:val="clear" w:color="auto" w:fill="1F3864"/>
            <w:vAlign w:val="center"/>
          </w:tcPr>
          <w:p w14:paraId="700B258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Ce qui est livré et opérationnel</w:t>
            </w:r>
          </w:p>
        </w:tc>
        <w:tc>
          <w:tcPr>
            <w:tcW w:w="1440" w:type="dxa"/>
            <w:shd w:val="clear" w:color="auto" w:fill="1F3864"/>
            <w:vAlign w:val="center"/>
          </w:tcPr>
          <w:p w14:paraId="76ACBC86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3B5575" w14:paraId="58A07FDA" w14:textId="77777777">
        <w:trPr>
          <w:jc w:val="center"/>
        </w:trPr>
        <w:tc>
          <w:tcPr>
            <w:tcW w:w="2736" w:type="dxa"/>
            <w:vAlign w:val="center"/>
          </w:tcPr>
          <w:p w14:paraId="548E72C4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Connectivité (1)</w:t>
            </w:r>
          </w:p>
        </w:tc>
        <w:tc>
          <w:tcPr>
            <w:tcW w:w="5760" w:type="dxa"/>
            <w:vAlign w:val="center"/>
          </w:tcPr>
          <w:p w14:paraId="77D5A9B5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Machine d'état 5 états, backoff exponentiel + jitter, heartbeat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5ADC8328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3DB78970" w14:textId="77777777">
        <w:trPr>
          <w:jc w:val="center"/>
        </w:trPr>
        <w:tc>
          <w:tcPr>
            <w:tcW w:w="2736" w:type="dxa"/>
            <w:vAlign w:val="center"/>
          </w:tcPr>
          <w:p w14:paraId="2055C4BC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Instrument master (2)</w:t>
            </w:r>
          </w:p>
        </w:tc>
        <w:tc>
          <w:tcPr>
            <w:tcW w:w="5760" w:type="dxa"/>
            <w:vAlign w:val="center"/>
          </w:tcPr>
          <w:p w14:paraId="1569216A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Clés canoniques, round-trip from_key, discovery IBKR, SQLite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7D338D10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3511C2E5" w14:textId="77777777">
        <w:trPr>
          <w:jc w:val="center"/>
        </w:trPr>
        <w:tc>
          <w:tcPr>
            <w:tcW w:w="2736" w:type="dxa"/>
            <w:vAlign w:val="center"/>
          </w:tcPr>
          <w:p w14:paraId="45205372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Ingestion (3)</w:t>
            </w:r>
          </w:p>
        </w:tc>
        <w:tc>
          <w:tcPr>
            <w:tcW w:w="5760" w:type="dxa"/>
            <w:vAlign w:val="center"/>
          </w:tcPr>
          <w:p w14:paraId="042E1A61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Couche brute immuable append-only, validation, reconnexion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77B6A62B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53A24D17" w14:textId="77777777">
        <w:trPr>
          <w:jc w:val="center"/>
        </w:trPr>
        <w:tc>
          <w:tcPr>
            <w:tcW w:w="2736" w:type="dxa"/>
            <w:vAlign w:val="center"/>
          </w:tcPr>
          <w:p w14:paraId="056EAE0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Snapshots (5)</w:t>
            </w:r>
          </w:p>
        </w:tc>
        <w:tc>
          <w:tcPr>
            <w:tcW w:w="5760" w:type="dxa"/>
            <w:vAlign w:val="center"/>
          </w:tcPr>
          <w:p w14:paraId="0216E610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Builder pur déterministe, fallback labellisé, flags stale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4384AB09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60CE6C15" w14:textId="77777777">
        <w:trPr>
          <w:jc w:val="center"/>
        </w:trPr>
        <w:tc>
          <w:tcPr>
            <w:tcW w:w="2736" w:type="dxa"/>
            <w:vAlign w:val="center"/>
          </w:tcPr>
          <w:p w14:paraId="14744D84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Forward (6)</w:t>
            </w:r>
          </w:p>
        </w:tc>
        <w:tc>
          <w:tcPr>
            <w:tcW w:w="5760" w:type="dxa"/>
            <w:vAlign w:val="center"/>
          </w:tcPr>
          <w:p w14:paraId="4CCE727B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Parité put-call, pondération liquidité, rejet MAD, score de confiance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270AB4FF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0FA042FA" w14:textId="77777777">
        <w:trPr>
          <w:jc w:val="center"/>
        </w:trPr>
        <w:tc>
          <w:tcPr>
            <w:tcW w:w="2736" w:type="dxa"/>
            <w:vAlign w:val="center"/>
          </w:tcPr>
          <w:p w14:paraId="6A154C79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Solveur d'IV (8)</w:t>
            </w:r>
          </w:p>
        </w:tc>
        <w:tc>
          <w:tcPr>
            <w:tcW w:w="5760" w:type="dxa"/>
            <w:vAlign w:val="center"/>
          </w:tcPr>
          <w:p w14:paraId="4E23BEE8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Brent bracketé européen + CRR américain, diagnostics complets, batch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4C5FBB46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1DEE6BCC" w14:textId="77777777">
        <w:trPr>
          <w:jc w:val="center"/>
        </w:trPr>
        <w:tc>
          <w:tcPr>
            <w:tcW w:w="2736" w:type="dxa"/>
            <w:vAlign w:val="center"/>
          </w:tcPr>
          <w:p w14:paraId="12361C6F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Surface (9)</w:t>
            </w:r>
          </w:p>
        </w:tc>
        <w:tc>
          <w:tcPr>
            <w:tcW w:w="5760" w:type="dxa"/>
            <w:vAlign w:val="center"/>
          </w:tcPr>
          <w:p w14:paraId="40ED76DC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SVI par tranche + fallback spline + monotonie + no-arb papillon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70F5BA06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1972FEEB" w14:textId="77777777">
        <w:trPr>
          <w:jc w:val="center"/>
        </w:trPr>
        <w:tc>
          <w:tcPr>
            <w:tcW w:w="2736" w:type="dxa"/>
            <w:vAlign w:val="center"/>
          </w:tcPr>
          <w:p w14:paraId="5EAA2F13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Pricing (10)</w:t>
            </w:r>
          </w:p>
        </w:tc>
        <w:tc>
          <w:tcPr>
            <w:tcW w:w="5760" w:type="dxa"/>
            <w:vAlign w:val="center"/>
          </w:tcPr>
          <w:p w14:paraId="41DCCE0F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Black-76 + Greeks analytiques + arbre CRR, objets typés, conventions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4ED9ED57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7CC7C8C2" w14:textId="77777777">
        <w:trPr>
          <w:jc w:val="center"/>
        </w:trPr>
        <w:tc>
          <w:tcPr>
            <w:tcW w:w="2736" w:type="dxa"/>
            <w:vAlign w:val="center"/>
          </w:tcPr>
          <w:p w14:paraId="6BAA4ED1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Risk (11)</w:t>
            </w:r>
          </w:p>
        </w:tc>
        <w:tc>
          <w:tcPr>
            <w:tcW w:w="5760" w:type="dxa"/>
            <w:vAlign w:val="center"/>
          </w:tcPr>
          <w:p w14:paraId="7F9E92C5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Greeks ligne-à-ligne, positions IBKR réelles, monétisation $Γ/$ν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017190A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17C067CB" w14:textId="77777777">
        <w:trPr>
          <w:jc w:val="center"/>
        </w:trPr>
        <w:tc>
          <w:tcPr>
            <w:tcW w:w="2736" w:type="dxa"/>
            <w:vAlign w:val="center"/>
          </w:tcPr>
          <w:p w14:paraId="176DB61D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Scénarios (12)</w:t>
            </w:r>
          </w:p>
        </w:tc>
        <w:tc>
          <w:tcPr>
            <w:tcW w:w="5760" w:type="dxa"/>
            <w:vAlign w:val="center"/>
          </w:tcPr>
          <w:p w14:paraId="66F02A4F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Grille versionnée (7), repricing complet + approx Greeks, contributeurs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2694063F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7F4B934D" w14:textId="77777777">
        <w:trPr>
          <w:jc w:val="center"/>
        </w:trPr>
        <w:tc>
          <w:tcPr>
            <w:tcW w:w="2736" w:type="dxa"/>
            <w:vAlign w:val="center"/>
          </w:tcPr>
          <w:p w14:paraId="4B5AA678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Replay (13)</w:t>
            </w:r>
          </w:p>
        </w:tc>
        <w:tc>
          <w:tcPr>
            <w:tcW w:w="5760" w:type="dxa"/>
            <w:vAlign w:val="center"/>
          </w:tcPr>
          <w:p w14:paraId="6FB12D9F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Même code path que le live, reconstruction depuis le raw, compare replay/live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7B301968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3F6F2BEC" w14:textId="77777777">
        <w:trPr>
          <w:jc w:val="center"/>
        </w:trPr>
        <w:tc>
          <w:tcPr>
            <w:tcW w:w="2736" w:type="dxa"/>
            <w:vAlign w:val="center"/>
          </w:tcPr>
          <w:p w14:paraId="115F002A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QC &amp; validation (14)</w:t>
            </w:r>
          </w:p>
        </w:tc>
        <w:tc>
          <w:tcPr>
            <w:tcW w:w="5760" w:type="dxa"/>
            <w:vAlign w:val="center"/>
          </w:tcPr>
          <w:p w14:paraId="0496033C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Checks nommés, baselines glissantes, anomaly detection, table de triage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0A06BC36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7DFAB1DE" w14:textId="77777777">
        <w:trPr>
          <w:jc w:val="center"/>
        </w:trPr>
        <w:tc>
          <w:tcPr>
            <w:tcW w:w="2736" w:type="dxa"/>
            <w:vAlign w:val="center"/>
          </w:tcPr>
          <w:p w14:paraId="26F4E171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Observabilité (15)</w:t>
            </w:r>
          </w:p>
        </w:tc>
        <w:tc>
          <w:tcPr>
            <w:tcW w:w="5760" w:type="dxa"/>
            <w:vAlign w:val="center"/>
          </w:tcPr>
          <w:p w14:paraId="1B796453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Isolation 2-process, alerts.json, statut collecteur, dashboard 10 pages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1B0A8771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729E1650" w14:textId="77777777">
        <w:trPr>
          <w:jc w:val="center"/>
        </w:trPr>
        <w:tc>
          <w:tcPr>
            <w:tcW w:w="2736" w:type="dxa"/>
            <w:vAlign w:val="center"/>
          </w:tcPr>
          <w:p w14:paraId="15869E38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Documentation (16)</w:t>
            </w:r>
          </w:p>
        </w:tc>
        <w:tc>
          <w:tcPr>
            <w:tcW w:w="5760" w:type="dxa"/>
            <w:vAlign w:val="center"/>
          </w:tcPr>
          <w:p w14:paraId="6870748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5 runbooks, release checklist, known limitations, interface contracts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3D3342FF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</w:tbl>
    <w:p w14:paraId="35CAE78F" w14:textId="77777777" w:rsidR="003B5575" w:rsidRDefault="00000000">
      <w:pPr>
        <w:pStyle w:val="Titre2"/>
      </w:pPr>
      <w:bookmarkStart w:id="4" w:name="_Toc231553407"/>
      <w:r>
        <w:rPr>
          <w:rFonts w:ascii="Calibri" w:hAnsi="Calibri"/>
          <w:color w:val="2E75B6"/>
        </w:rPr>
        <w:t>2.3  Au-dessus du minimum exigé (différenciateurs à valoriser)</w:t>
      </w:r>
      <w:bookmarkEnd w:id="4"/>
    </w:p>
    <w:p w14:paraId="44223363" w14:textId="77777777" w:rsidR="003B5575" w:rsidRDefault="00000000">
      <w:pPr>
        <w:pStyle w:val="Listepuces"/>
        <w:spacing w:after="60"/>
      </w:pPr>
      <w:r>
        <w:rPr>
          <w:sz w:val="20"/>
        </w:rPr>
        <w:t>No-arbitrage papillon (convexité des prix de calls en strike) — non exigé au minimum roadmap.</w:t>
      </w:r>
    </w:p>
    <w:p w14:paraId="6F1A4004" w14:textId="77777777" w:rsidR="003B5575" w:rsidRDefault="00000000">
      <w:pPr>
        <w:pStyle w:val="Listepuces"/>
        <w:spacing w:after="60"/>
      </w:pPr>
      <w:r>
        <w:rPr>
          <w:sz w:val="20"/>
        </w:rPr>
        <w:t>Inversion d'IV américaine via arbre CRR — au-delà du simple proxy demandé pour les options à exercice anticipé.</w:t>
      </w:r>
    </w:p>
    <w:p w14:paraId="5D16DE99" w14:textId="77777777" w:rsidR="003B5575" w:rsidRDefault="00000000">
      <w:pPr>
        <w:pStyle w:val="Listepuces"/>
        <w:spacing w:after="60"/>
      </w:pPr>
      <w:r>
        <w:rPr>
          <w:sz w:val="20"/>
        </w:rPr>
        <w:t>Détection d'anomalies + baselines glissantes (z-score MAD) + table de triage — au-delà des checks ponctuels.</w:t>
      </w:r>
    </w:p>
    <w:p w14:paraId="51668B3E" w14:textId="77777777" w:rsidR="003B5575" w:rsidRDefault="00000000">
      <w:pPr>
        <w:pStyle w:val="Listepuces"/>
        <w:spacing w:after="60"/>
      </w:pPr>
      <w:r>
        <w:rPr>
          <w:sz w:val="20"/>
        </w:rPr>
        <w:t>Architecture 2-process (collecteur / dashboard) avec écritures atomiques — « process isolation » de la roadmap.</w:t>
      </w:r>
    </w:p>
    <w:p w14:paraId="65F8A66F" w14:textId="77777777" w:rsidR="003B5575" w:rsidRDefault="00000000">
      <w:pPr>
        <w:pStyle w:val="Listepuces"/>
        <w:spacing w:after="60"/>
      </w:pPr>
      <w:r>
        <w:rPr>
          <w:sz w:val="20"/>
        </w:rPr>
        <w:t>Lineage complet (code_version, config_hash, run_id) attaché à TOUTES les sorties dérivées.</w:t>
      </w:r>
    </w:p>
    <w:p w14:paraId="0F15D328" w14:textId="77777777" w:rsidR="003B5575" w:rsidRDefault="00000000">
      <w:pPr>
        <w:pStyle w:val="Listepuces"/>
        <w:spacing w:after="60"/>
      </w:pPr>
      <w:r>
        <w:rPr>
          <w:sz w:val="20"/>
        </w:rPr>
        <w:t>Données IBKR réelles (différé gratuit) + repli automatique sur le close historique marché fermé.</w:t>
      </w:r>
    </w:p>
    <w:p w14:paraId="53526F69" w14:textId="77777777" w:rsidR="003B5575" w:rsidRDefault="00000000">
      <w:pPr>
        <w:pStyle w:val="Listepuces"/>
        <w:spacing w:after="60"/>
      </w:pPr>
      <w:r>
        <w:rPr>
          <w:sz w:val="20"/>
        </w:rPr>
        <w:t>56 tests unitaires : pricing (parité, intrinsèque, limites), round-trip IV européen + américain, forward, no-arb papillon, anomalies, replay vs live.</w:t>
      </w:r>
    </w:p>
    <w:p w14:paraId="1C88ECBC" w14:textId="77777777" w:rsidR="003B5575" w:rsidRDefault="00000000">
      <w:r>
        <w:br w:type="page"/>
      </w:r>
    </w:p>
    <w:p w14:paraId="4BEE96C1" w14:textId="77777777" w:rsidR="003B5575" w:rsidRDefault="00000000">
      <w:pPr>
        <w:pStyle w:val="Titre1"/>
      </w:pPr>
      <w:bookmarkStart w:id="5" w:name="_Toc231553408"/>
      <w:r>
        <w:rPr>
          <w:rFonts w:ascii="Calibri" w:hAnsi="Calibri"/>
          <w:color w:val="1F3864"/>
        </w:rPr>
        <w:lastRenderedPageBreak/>
        <w:t>3. Tableau de synthèse — 16 étapes</w:t>
      </w:r>
      <w:bookmarkEnd w:id="5"/>
    </w:p>
    <w:p w14:paraId="1B1A3545" w14:textId="77777777" w:rsidR="003B5575" w:rsidRDefault="00000000">
      <w:pPr>
        <w:spacing w:after="120"/>
      </w:pPr>
      <w:r>
        <w:rPr>
          <w:i/>
          <w:sz w:val="19"/>
        </w:rPr>
        <w:t>Statut indépendant et écart principal par étape. Le détail figure en section 4.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5184"/>
        <w:gridCol w:w="1440"/>
      </w:tblGrid>
      <w:tr w:rsidR="003B5575" w14:paraId="17781095" w14:textId="77777777">
        <w:trPr>
          <w:jc w:val="center"/>
        </w:trPr>
        <w:tc>
          <w:tcPr>
            <w:tcW w:w="3312" w:type="dxa"/>
            <w:shd w:val="clear" w:color="auto" w:fill="1F3864"/>
            <w:vAlign w:val="center"/>
          </w:tcPr>
          <w:p w14:paraId="577A52A9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w="5184" w:type="dxa"/>
            <w:shd w:val="clear" w:color="auto" w:fill="1F3864"/>
            <w:vAlign w:val="center"/>
          </w:tcPr>
          <w:p w14:paraId="0AC1F8E3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Écart principal</w:t>
            </w:r>
          </w:p>
        </w:tc>
        <w:tc>
          <w:tcPr>
            <w:tcW w:w="1440" w:type="dxa"/>
            <w:shd w:val="clear" w:color="auto" w:fill="1F3864"/>
            <w:vAlign w:val="center"/>
          </w:tcPr>
          <w:p w14:paraId="4E75C79F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3B5575" w14:paraId="279C5060" w14:textId="77777777">
        <w:trPr>
          <w:jc w:val="center"/>
        </w:trPr>
        <w:tc>
          <w:tcPr>
            <w:tcW w:w="3312" w:type="dxa"/>
            <w:vAlign w:val="center"/>
          </w:tcPr>
          <w:p w14:paraId="7420D43B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1 — Accès, env., sécurité</w:t>
            </w:r>
          </w:p>
        </w:tc>
        <w:tc>
          <w:tcPr>
            <w:tcW w:w="5184" w:type="dxa"/>
            <w:vAlign w:val="center"/>
          </w:tcPr>
          <w:p w14:paraId="2A7ACCCD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deps Dash absentes de requirements.txt ; pas de check clock-sync/entitlement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440FA791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Conforme-</w:t>
            </w:r>
          </w:p>
        </w:tc>
      </w:tr>
      <w:tr w:rsidR="003B5575" w14:paraId="3A4F8F7D" w14:textId="77777777">
        <w:trPr>
          <w:jc w:val="center"/>
        </w:trPr>
        <w:tc>
          <w:tcPr>
            <w:tcW w:w="3312" w:type="dxa"/>
            <w:vAlign w:val="center"/>
          </w:tcPr>
          <w:p w14:paraId="32C43F8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2 — Instrument master</w:t>
            </w:r>
          </w:p>
        </w:tc>
        <w:tc>
          <w:tcPr>
            <w:tcW w:w="5184" w:type="dxa"/>
            <w:vAlign w:val="center"/>
          </w:tcPr>
          <w:p w14:paraId="2DC5F0EA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payloads broker bruts non persistés (« evidence » exigée)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1DB816C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Conforme-</w:t>
            </w:r>
          </w:p>
        </w:tc>
      </w:tr>
      <w:tr w:rsidR="003B5575" w14:paraId="27700EF4" w14:textId="77777777">
        <w:trPr>
          <w:jc w:val="center"/>
        </w:trPr>
        <w:tc>
          <w:tcPr>
            <w:tcW w:w="3312" w:type="dxa"/>
            <w:vAlign w:val="center"/>
          </w:tcPr>
          <w:p w14:paraId="19408029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3 — Ingestion market data</w:t>
            </w:r>
          </w:p>
        </w:tc>
        <w:tc>
          <w:tcPr>
            <w:tcW w:w="5184" w:type="dxa"/>
            <w:vAlign w:val="center"/>
          </w:tcPr>
          <w:p w14:paraId="5A815EE3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exchange_ts toujours None ; events malformés non mis en quarantaine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30221AEF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0BAA270A" w14:textId="77777777">
        <w:trPr>
          <w:jc w:val="center"/>
        </w:trPr>
        <w:tc>
          <w:tcPr>
            <w:tcW w:w="3312" w:type="dxa"/>
            <w:vAlign w:val="center"/>
          </w:tcPr>
          <w:p w14:paraId="10FA6F19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4 — Stockage &amp; data model</w:t>
            </w:r>
          </w:p>
        </w:tc>
        <w:tc>
          <w:tcPr>
            <w:tcW w:w="5184" w:type="dxa"/>
            <w:vAlign w:val="center"/>
          </w:tcPr>
          <w:p w14:paraId="7284DE5B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3 tables jamais écrites ; aucune politique de rétention</w:t>
            </w:r>
          </w:p>
        </w:tc>
        <w:tc>
          <w:tcPr>
            <w:tcW w:w="1440" w:type="dxa"/>
            <w:shd w:val="clear" w:color="auto" w:fill="E65100"/>
            <w:vAlign w:val="center"/>
          </w:tcPr>
          <w:p w14:paraId="6E5345D0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Partiel</w:t>
            </w:r>
          </w:p>
        </w:tc>
      </w:tr>
      <w:tr w:rsidR="003B5575" w14:paraId="005B1DFD" w14:textId="77777777">
        <w:trPr>
          <w:jc w:val="center"/>
        </w:trPr>
        <w:tc>
          <w:tcPr>
            <w:tcW w:w="3312" w:type="dxa"/>
            <w:vAlign w:val="center"/>
          </w:tcPr>
          <w:p w14:paraId="19A86275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5 — Spot builder / snapshots</w:t>
            </w:r>
          </w:p>
        </w:tc>
        <w:tc>
          <w:tcPr>
            <w:tcW w:w="5184" w:type="dxa"/>
            <w:vAlign w:val="center"/>
          </w:tcPr>
          <w:p w14:paraId="6BD5E25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fallback bid au lieu de close/carry-forward du snapshot précédent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07591A85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7E2075C7" w14:textId="77777777">
        <w:trPr>
          <w:jc w:val="center"/>
        </w:trPr>
        <w:tc>
          <w:tcPr>
            <w:tcW w:w="3312" w:type="dxa"/>
            <w:vAlign w:val="center"/>
          </w:tcPr>
          <w:p w14:paraId="429A12D4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6 — Forward &amp; carry</w:t>
            </w:r>
          </w:p>
        </w:tc>
        <w:tc>
          <w:tcPr>
            <w:tcW w:w="5184" w:type="dxa"/>
            <w:vAlign w:val="center"/>
          </w:tcPr>
          <w:p w14:paraId="2BD13765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diagnostics par strike non persistés ; pas de lissage terme ni courbe de taux</w:t>
            </w:r>
          </w:p>
        </w:tc>
        <w:tc>
          <w:tcPr>
            <w:tcW w:w="1440" w:type="dxa"/>
            <w:shd w:val="clear" w:color="auto" w:fill="E65100"/>
            <w:vAlign w:val="center"/>
          </w:tcPr>
          <w:p w14:paraId="1446E088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Partiel</w:t>
            </w:r>
          </w:p>
        </w:tc>
      </w:tr>
      <w:tr w:rsidR="003B5575" w14:paraId="1131956B" w14:textId="77777777">
        <w:trPr>
          <w:jc w:val="center"/>
        </w:trPr>
        <w:tc>
          <w:tcPr>
            <w:tcW w:w="3312" w:type="dxa"/>
            <w:vAlign w:val="center"/>
          </w:tcPr>
          <w:p w14:paraId="3E535239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7 — Normalisation / QC quotes</w:t>
            </w:r>
          </w:p>
        </w:tc>
        <w:tc>
          <w:tcPr>
            <w:tcW w:w="5184" w:type="dxa"/>
            <w:vAlign w:val="center"/>
          </w:tcPr>
          <w:p w14:paraId="1D862329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min_open_interest jamais appliqué ; checks non « nommés »</w:t>
            </w:r>
          </w:p>
        </w:tc>
        <w:tc>
          <w:tcPr>
            <w:tcW w:w="1440" w:type="dxa"/>
            <w:shd w:val="clear" w:color="auto" w:fill="E65100"/>
            <w:vAlign w:val="center"/>
          </w:tcPr>
          <w:p w14:paraId="3DFF9630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Partiel</w:t>
            </w:r>
          </w:p>
        </w:tc>
      </w:tr>
      <w:tr w:rsidR="003B5575" w14:paraId="3E293C97" w14:textId="77777777">
        <w:trPr>
          <w:jc w:val="center"/>
        </w:trPr>
        <w:tc>
          <w:tcPr>
            <w:tcW w:w="3312" w:type="dxa"/>
            <w:vAlign w:val="center"/>
          </w:tcPr>
          <w:p w14:paraId="363DE584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8 — Solveur d'IV</w:t>
            </w:r>
          </w:p>
        </w:tc>
        <w:tc>
          <w:tcPr>
            <w:tcW w:w="5184" w:type="dxa"/>
            <w:vAlign w:val="center"/>
          </w:tcPr>
          <w:p w14:paraId="7F9AC2E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(fort) Newton annoncé mais non codé ; coord. delta absente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6F3422D5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580C6C44" w14:textId="77777777">
        <w:trPr>
          <w:jc w:val="center"/>
        </w:trPr>
        <w:tc>
          <w:tcPr>
            <w:tcW w:w="3312" w:type="dxa"/>
            <w:vAlign w:val="center"/>
          </w:tcPr>
          <w:p w14:paraId="4F064665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9 — Surface engine</w:t>
            </w:r>
          </w:p>
        </w:tc>
        <w:tc>
          <w:tcPr>
            <w:tcW w:w="5184" w:type="dxa"/>
            <w:vAlign w:val="center"/>
          </w:tcPr>
          <w:p w14:paraId="3EC76CDB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surface_parameters jamais écrits ; Eq.22 (interp. cross-maturité) absente</w:t>
            </w:r>
          </w:p>
        </w:tc>
        <w:tc>
          <w:tcPr>
            <w:tcW w:w="1440" w:type="dxa"/>
            <w:shd w:val="clear" w:color="auto" w:fill="E65100"/>
            <w:vAlign w:val="center"/>
          </w:tcPr>
          <w:p w14:paraId="03A7D113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Partiel</w:t>
            </w:r>
          </w:p>
        </w:tc>
      </w:tr>
      <w:tr w:rsidR="003B5575" w14:paraId="740BF40E" w14:textId="77777777">
        <w:trPr>
          <w:jc w:val="center"/>
        </w:trPr>
        <w:tc>
          <w:tcPr>
            <w:tcW w:w="3312" w:type="dxa"/>
            <w:vAlign w:val="center"/>
          </w:tcPr>
          <w:p w14:paraId="6FA2468A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10 — Pricing engine</w:t>
            </w:r>
          </w:p>
        </w:tc>
        <w:tc>
          <w:tcPr>
            <w:tcW w:w="5184" w:type="dxa"/>
            <w:vAlign w:val="center"/>
          </w:tcPr>
          <w:p w14:paraId="3F79142B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pas d'API vectorisée ; table pricing_results absente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23078F2A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1D97CB84" w14:textId="77777777">
        <w:trPr>
          <w:jc w:val="center"/>
        </w:trPr>
        <w:tc>
          <w:tcPr>
            <w:tcW w:w="3312" w:type="dxa"/>
            <w:vAlign w:val="center"/>
          </w:tcPr>
          <w:p w14:paraId="099EA6F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11 — Greeks &amp; risk</w:t>
            </w:r>
          </w:p>
        </w:tc>
        <w:tc>
          <w:tcPr>
            <w:tcW w:w="5184" w:type="dxa"/>
            <w:vAlign w:val="center"/>
          </w:tcPr>
          <w:p w14:paraId="2677F82C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aggregate_risk() jamais appelé ; réconciliations broker + finite-diff absentes</w:t>
            </w:r>
          </w:p>
        </w:tc>
        <w:tc>
          <w:tcPr>
            <w:tcW w:w="1440" w:type="dxa"/>
            <w:shd w:val="clear" w:color="auto" w:fill="E65100"/>
            <w:vAlign w:val="center"/>
          </w:tcPr>
          <w:p w14:paraId="63786A6D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Partiel</w:t>
            </w:r>
          </w:p>
        </w:tc>
      </w:tr>
      <w:tr w:rsidR="003B5575" w14:paraId="3A34FF8C" w14:textId="77777777">
        <w:trPr>
          <w:jc w:val="center"/>
        </w:trPr>
        <w:tc>
          <w:tcPr>
            <w:tcW w:w="3312" w:type="dxa"/>
            <w:vAlign w:val="center"/>
          </w:tcPr>
          <w:p w14:paraId="63673A5A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12 — Scénarios</w:t>
            </w:r>
          </w:p>
        </w:tc>
        <w:tc>
          <w:tcPr>
            <w:tcW w:w="5184" w:type="dxa"/>
            <w:vAlign w:val="center"/>
          </w:tcPr>
          <w:p w14:paraId="0A367FC4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complet (rotations de courbe optionnelles non couvertes)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67D03959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</w:t>
            </w:r>
          </w:p>
        </w:tc>
      </w:tr>
      <w:tr w:rsidR="003B5575" w14:paraId="66603D81" w14:textId="77777777">
        <w:trPr>
          <w:jc w:val="center"/>
        </w:trPr>
        <w:tc>
          <w:tcPr>
            <w:tcW w:w="3312" w:type="dxa"/>
            <w:vAlign w:val="center"/>
          </w:tcPr>
          <w:p w14:paraId="1E3C6D23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13 — Reconstruction / replay</w:t>
            </w:r>
          </w:p>
        </w:tc>
        <w:tc>
          <w:tcPr>
            <w:tcW w:w="5184" w:type="dxa"/>
            <w:vAlign w:val="center"/>
          </w:tcPr>
          <w:p w14:paraId="0F3391F0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réécrit la même partition au lieu de versionner physiquement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48725CD5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Conforme-</w:t>
            </w:r>
          </w:p>
        </w:tc>
      </w:tr>
      <w:tr w:rsidR="003B5575" w14:paraId="2AB3FDEF" w14:textId="77777777">
        <w:trPr>
          <w:jc w:val="center"/>
        </w:trPr>
        <w:tc>
          <w:tcPr>
            <w:tcW w:w="3312" w:type="dxa"/>
            <w:vAlign w:val="center"/>
          </w:tcPr>
          <w:p w14:paraId="15246DCF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14 — Validation framework</w:t>
            </w:r>
          </w:p>
        </w:tc>
        <w:tc>
          <w:tcPr>
            <w:tcW w:w="5184" w:type="dxa"/>
            <w:vAlign w:val="center"/>
          </w:tcPr>
          <w:p w14:paraId="31955FEA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3 checks nommés manquants ; escalade documentée mais non codée</w:t>
            </w:r>
          </w:p>
        </w:tc>
        <w:tc>
          <w:tcPr>
            <w:tcW w:w="1440" w:type="dxa"/>
            <w:shd w:val="clear" w:color="auto" w:fill="E65100"/>
            <w:vAlign w:val="center"/>
          </w:tcPr>
          <w:p w14:paraId="4A8D52F2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Partiel</w:t>
            </w:r>
          </w:p>
        </w:tc>
      </w:tr>
      <w:tr w:rsidR="003B5575" w14:paraId="7A0C2F7C" w14:textId="77777777">
        <w:trPr>
          <w:jc w:val="center"/>
        </w:trPr>
        <w:tc>
          <w:tcPr>
            <w:tcW w:w="3312" w:type="dxa"/>
            <w:vAlign w:val="center"/>
          </w:tcPr>
          <w:p w14:paraId="56218281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15 — Orchestration / observabilité</w:t>
            </w:r>
          </w:p>
        </w:tc>
        <w:tc>
          <w:tcPr>
            <w:tcW w:w="5184" w:type="dxa"/>
            <w:vAlign w:val="center"/>
          </w:tcPr>
          <w:p w14:paraId="5E98700B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pas de scheduler système ; pas de correlation IDs ; alertes locales</w:t>
            </w:r>
          </w:p>
        </w:tc>
        <w:tc>
          <w:tcPr>
            <w:tcW w:w="1440" w:type="dxa"/>
            <w:shd w:val="clear" w:color="auto" w:fill="E65100"/>
            <w:vAlign w:val="center"/>
          </w:tcPr>
          <w:p w14:paraId="190F4664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Partiel</w:t>
            </w:r>
          </w:p>
        </w:tc>
      </w:tr>
      <w:tr w:rsidR="003B5575" w14:paraId="0DC9E4BF" w14:textId="77777777">
        <w:trPr>
          <w:jc w:val="center"/>
        </w:trPr>
        <w:tc>
          <w:tcPr>
            <w:tcW w:w="3312" w:type="dxa"/>
            <w:vAlign w:val="center"/>
          </w:tcPr>
          <w:p w14:paraId="40869AFD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16 — Handover production</w:t>
            </w:r>
          </w:p>
        </w:tc>
        <w:tc>
          <w:tcPr>
            <w:tcW w:w="5184" w:type="dxa"/>
            <w:vAlign w:val="center"/>
          </w:tcPr>
          <w:p w14:paraId="06F4A7F7" w14:textId="77777777" w:rsidR="003B5575" w:rsidRDefault="00000000">
            <w:pPr>
              <w:spacing w:before="20" w:after="20"/>
            </w:pPr>
            <w:r>
              <w:rPr>
                <w:sz w:val="17"/>
              </w:rPr>
              <w:t>docs/ solide ; manquent module READMEs + diagramme + schemas.md détaillé</w:t>
            </w:r>
          </w:p>
        </w:tc>
        <w:tc>
          <w:tcPr>
            <w:tcW w:w="1440" w:type="dxa"/>
            <w:shd w:val="clear" w:color="auto" w:fill="2E7D32"/>
            <w:vAlign w:val="center"/>
          </w:tcPr>
          <w:p w14:paraId="72DC7037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Conforme-</w:t>
            </w:r>
          </w:p>
        </w:tc>
      </w:tr>
    </w:tbl>
    <w:p w14:paraId="1559231E" w14:textId="77777777" w:rsidR="003B5575" w:rsidRDefault="00000000">
      <w:r>
        <w:br w:type="page"/>
      </w:r>
    </w:p>
    <w:p w14:paraId="17A5046D" w14:textId="77777777" w:rsidR="003B5575" w:rsidRDefault="00000000">
      <w:pPr>
        <w:pStyle w:val="Titre1"/>
      </w:pPr>
      <w:bookmarkStart w:id="6" w:name="_Toc231553409"/>
      <w:r>
        <w:rPr>
          <w:rFonts w:ascii="Calibri" w:hAnsi="Calibri"/>
          <w:color w:val="1F3864"/>
        </w:rPr>
        <w:lastRenderedPageBreak/>
        <w:t>4. Détail des manques, étape par étape</w:t>
      </w:r>
      <w:bookmarkEnd w:id="6"/>
    </w:p>
    <w:p w14:paraId="30A78ADD" w14:textId="77777777" w:rsidR="003B5575" w:rsidRDefault="00000000">
      <w:pPr>
        <w:pStyle w:val="Titre2"/>
      </w:pPr>
      <w:bookmarkStart w:id="7" w:name="_Toc231553410"/>
      <w:r>
        <w:rPr>
          <w:rFonts w:ascii="Calibri" w:hAnsi="Calibri"/>
          <w:color w:val="2E75B6"/>
        </w:rPr>
        <w:t>Étape 1 — Accès, environnements et sécurité</w:t>
      </w:r>
      <w:bookmarkEnd w:id="7"/>
    </w:p>
    <w:p w14:paraId="2686FBC8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2E7D32"/>
        </w:rPr>
        <w:t>Conforme-</w:t>
      </w:r>
    </w:p>
    <w:p w14:paraId="2375E3AD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Smoke test bootstrap.py (résout SPY, lit une quote, écrit un event), config externalisée (YAML), secrets hors dépôt (.env), IBKRSession avec backoff exponentiel + jitter, versions épinglées.</w:t>
      </w:r>
    </w:p>
    <w:p w14:paraId="7CAC2A47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73DEDC1A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dash et dash-bootstrap-components absents de requirements.txt alors que l'app front en dépend — install KO sur machine neuve. docs/environment.md affirme pourtant qu'ils sont installés (incohérence doc/code).</w:t>
      </w:r>
      <w:r>
        <w:rPr>
          <w:rFonts w:ascii="Consolas" w:hAnsi="Consolas"/>
          <w:color w:val="666666"/>
          <w:sz w:val="17"/>
        </w:rPr>
        <w:t xml:space="preserve">  (requirements.txt vs docs/environment.md:18)</w:t>
      </w:r>
    </w:p>
    <w:p w14:paraId="47AECA74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Health checks incomplets : pas de vérification de synchronisation d'horloge ni d'entitlement market-data dans le bootstrap (exigés étape 1).</w:t>
      </w:r>
      <w:r>
        <w:rPr>
          <w:rFonts w:ascii="Consolas" w:hAnsi="Consolas"/>
          <w:color w:val="666666"/>
          <w:sz w:val="17"/>
        </w:rPr>
        <w:t xml:space="preserve">  (scripts/bootstrap.py)</w:t>
      </w:r>
    </w:p>
    <w:p w14:paraId="1799AB78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Pas de lock file (poetry.lock / pip-tools) ; reproductibilité reposant sur des versions épinglées seulement.</w:t>
      </w:r>
      <w:r>
        <w:rPr>
          <w:rFonts w:ascii="Consolas" w:hAnsi="Consolas"/>
          <w:color w:val="666666"/>
          <w:sz w:val="17"/>
        </w:rPr>
        <w:t xml:space="preserve">  (requirements.txt)</w:t>
      </w:r>
    </w:p>
    <w:p w14:paraId="7D53E093" w14:textId="77777777" w:rsidR="003B5575" w:rsidRDefault="00000000">
      <w:pPr>
        <w:pStyle w:val="Titre2"/>
      </w:pPr>
      <w:bookmarkStart w:id="8" w:name="_Toc231553411"/>
      <w:r>
        <w:rPr>
          <w:rFonts w:ascii="Calibri" w:hAnsi="Calibri"/>
          <w:color w:val="2E75B6"/>
        </w:rPr>
        <w:t>Étape 2 — Instrument master &amp; discovery</w:t>
      </w:r>
      <w:bookmarkEnd w:id="8"/>
    </w:p>
    <w:p w14:paraId="15DB5A45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2E7D32"/>
        </w:rPr>
        <w:t>Conforme-</w:t>
      </w:r>
    </w:p>
    <w:p w14:paraId="1B22CE14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Dataclasses Underlying/OptionContract, instrument_key canonique, from_key (round-trip), InstrumentMaster, discovery IBKR, persistance SQLite, validate() (multiplicateurs/strikes), déduplication.</w:t>
      </w:r>
    </w:p>
    <w:p w14:paraId="214893E8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785EFF6C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Payloads broker bruts non persistés. La roadmap insiste (« store raw contract payloads as evidence ») : discover_universe_from_ibkr crée les contrats mais ne sauvegarde jamais la réponse brute reqSecDefOptParams.</w:t>
      </w:r>
      <w:r>
        <w:rPr>
          <w:rFonts w:ascii="Consolas" w:hAnsi="Consolas"/>
          <w:color w:val="666666"/>
          <w:sz w:val="17"/>
        </w:rPr>
        <w:t xml:space="preserve">  (src/universe/contracts.py:225)</w:t>
      </w:r>
    </w:p>
    <w:p w14:paraId="6F79D1C3" w14:textId="77777777" w:rsidR="003B5575" w:rsidRDefault="00000000">
      <w:pPr>
        <w:pStyle w:val="Titre2"/>
      </w:pPr>
      <w:bookmarkStart w:id="9" w:name="_Toc231553412"/>
      <w:r>
        <w:rPr>
          <w:rFonts w:ascii="Calibri" w:hAnsi="Calibri"/>
          <w:color w:val="2E75B6"/>
        </w:rPr>
        <w:t>Étape 3 — Ingestion market data</w:t>
      </w:r>
      <w:bookmarkEnd w:id="9"/>
    </w:p>
    <w:p w14:paraId="2F7105AD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2E7D32"/>
        </w:rPr>
        <w:t>Conforme</w:t>
      </w:r>
    </w:p>
    <w:p w14:paraId="1DF37D9D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RawMarketEvent canonique, RawEventWriter append-only (batch/flush), validation des champs, souscription underlyings+options, reconnexion/heartbeat, coverage_summary, couche brute immuable alimentée avant tout calcul.</w:t>
      </w:r>
    </w:p>
    <w:p w14:paraId="2126B99E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65ABA41C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exchange_ts présent dans le schéma mais toujours None — jamais renseigné dans le chemin live (seul receipt_ts l'est).</w:t>
      </w:r>
      <w:r>
        <w:rPr>
          <w:rFonts w:ascii="Consolas" w:hAnsi="Consolas"/>
          <w:color w:val="666666"/>
          <w:sz w:val="17"/>
        </w:rPr>
        <w:t xml:space="preserve">  (src/collectors/raw_writer.py:40,55)</w:t>
      </w:r>
    </w:p>
    <w:p w14:paraId="04C3AB7B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Events malformés comptés (_malformed_count) puis droppés, pas mis en quarantaine avec reason code dans un store (« quarantine with a reason code »).</w:t>
      </w:r>
      <w:r>
        <w:rPr>
          <w:rFonts w:ascii="Consolas" w:hAnsi="Consolas"/>
          <w:color w:val="666666"/>
          <w:sz w:val="17"/>
        </w:rPr>
        <w:t xml:space="preserve">  (src/collectors/raw_writer.py:102)</w:t>
      </w:r>
    </w:p>
    <w:p w14:paraId="619630F9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« Missing intervals » non calculés dans les résumés de session.</w:t>
      </w:r>
      <w:r>
        <w:rPr>
          <w:rFonts w:ascii="Consolas" w:hAnsi="Consolas"/>
          <w:color w:val="666666"/>
          <w:sz w:val="17"/>
        </w:rPr>
        <w:t xml:space="preserve">  (src/collectors/raw_writer.py:225)</w:t>
      </w:r>
    </w:p>
    <w:p w14:paraId="59E1AF80" w14:textId="77777777" w:rsidR="003B5575" w:rsidRDefault="00000000">
      <w:pPr>
        <w:pStyle w:val="Titre2"/>
      </w:pPr>
      <w:bookmarkStart w:id="10" w:name="_Toc231553413"/>
      <w:r>
        <w:rPr>
          <w:rFonts w:ascii="Calibri" w:hAnsi="Calibri"/>
          <w:color w:val="2E75B6"/>
        </w:rPr>
        <w:t>Étape 4 — Stockage persistant &amp; data model</w:t>
      </w:r>
      <w:bookmarkEnd w:id="10"/>
    </w:p>
    <w:p w14:paraId="4216A2AF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E65100"/>
        </w:rPr>
        <w:t>Partiel</w:t>
      </w:r>
    </w:p>
    <w:p w14:paraId="796BDD9A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ParquetStore partitionné par date, MetadataStore SQLite (instrument_master, job_manifests, qc_results), lineage (code_version/config_hash/run_id) sur toutes les sorties dérivées, manifests JSON + DB, écritures atomiques.</w:t>
      </w:r>
    </w:p>
    <w:p w14:paraId="3A214878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29E5F03F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Table surface_parameters jamais écrite (paramètres SVI a,b,ρ,m,σ par tranche).</w:t>
      </w:r>
      <w:r>
        <w:rPr>
          <w:rFonts w:ascii="Consolas" w:hAnsi="Consolas"/>
          <w:color w:val="666666"/>
          <w:sz w:val="17"/>
        </w:rPr>
        <w:t xml:space="preserve">  (0 occurrence de store.write("surface_parameters"))</w:t>
      </w:r>
    </w:p>
    <w:p w14:paraId="753E73C1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Table pricing_results jamais écrite (prix + Greeks par contrat).</w:t>
      </w:r>
      <w:r>
        <w:rPr>
          <w:rFonts w:ascii="Consolas" w:hAnsi="Consolas"/>
          <w:color w:val="666666"/>
          <w:sz w:val="17"/>
        </w:rPr>
        <w:t xml:space="preserve">  (0 occurrence)</w:t>
      </w:r>
    </w:p>
    <w:p w14:paraId="77EBAF44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Table positions jamais écrite (positions source-of-record versionnées).</w:t>
      </w:r>
      <w:r>
        <w:rPr>
          <w:rFonts w:ascii="Consolas" w:hAnsi="Consolas"/>
          <w:color w:val="666666"/>
          <w:sz w:val="17"/>
        </w:rPr>
        <w:t xml:space="preserve">  (0 occurrence)</w:t>
      </w:r>
    </w:p>
    <w:p w14:paraId="27AFC328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Aucune politique de rétention (Tier 1–4 de la Part XV) ; partition par date seule (la roadmap suggère date × underlying × layer).</w:t>
      </w:r>
      <w:r>
        <w:rPr>
          <w:rFonts w:ascii="Consolas" w:hAnsi="Consolas"/>
          <w:color w:val="666666"/>
          <w:sz w:val="17"/>
        </w:rPr>
        <w:t xml:space="preserve">  (src/storage/schemas.py)</w:t>
      </w:r>
    </w:p>
    <w:p w14:paraId="1CDEAE53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Règles d'évolution de schéma / write-ahead validation non formalisées.</w:t>
      </w:r>
    </w:p>
    <w:p w14:paraId="25D262FF" w14:textId="77777777" w:rsidR="003B5575" w:rsidRDefault="00000000">
      <w:pPr>
        <w:pStyle w:val="Titre2"/>
      </w:pPr>
      <w:bookmarkStart w:id="11" w:name="_Toc231553414"/>
      <w:r>
        <w:rPr>
          <w:rFonts w:ascii="Calibri" w:hAnsi="Calibri"/>
          <w:color w:val="2E75B6"/>
        </w:rPr>
        <w:t>Étape 5 — Spot builder &amp; snapshots</w:t>
      </w:r>
      <w:bookmarkEnd w:id="11"/>
    </w:p>
    <w:p w14:paraId="132C96FF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2E7D32"/>
        </w:rPr>
        <w:t>Conforme</w:t>
      </w:r>
    </w:p>
    <w:p w14:paraId="30A97D9E" w14:textId="77777777" w:rsidR="003B5575" w:rsidRDefault="00000000">
      <w:pPr>
        <w:spacing w:after="60"/>
      </w:pPr>
      <w:r>
        <w:rPr>
          <w:b/>
          <w:color w:val="2E7D32"/>
          <w:sz w:val="19"/>
        </w:rPr>
        <w:lastRenderedPageBreak/>
        <w:t xml:space="preserve">Déjà en place. </w:t>
      </w:r>
      <w:r>
        <w:rPr>
          <w:sz w:val="19"/>
        </w:rPr>
        <w:t>build_snapshot pur et déterministe, choose_reference_spot (mid→last→fallback), reference_type stocké, flags stale/fallback, métriques de complétude, rejouable depuis le raw.</w:t>
      </w:r>
    </w:p>
    <w:p w14:paraId="7144ED16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7C486B43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Ordre de fallback partiel : le builder fait mid→last→bid_fallback ; la roadmap demande mid→last→close→carry-forward du dernier snapshot fiable. Le report du snapshot précédent (carry-forward) n'est pas implémenté.</w:t>
      </w:r>
      <w:r>
        <w:rPr>
          <w:rFonts w:ascii="Consolas" w:hAnsi="Consolas"/>
          <w:color w:val="666666"/>
          <w:sz w:val="17"/>
        </w:rPr>
        <w:t xml:space="preserve">  (src/snapshots/builder.py:78)</w:t>
      </w:r>
    </w:p>
    <w:p w14:paraId="0147D65D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En live, reference_type est figé à « live_delayed » — la granularité mid/last/close exigée par le data dictionary est perdue.</w:t>
      </w:r>
      <w:r>
        <w:rPr>
          <w:rFonts w:ascii="Consolas" w:hAnsi="Consolas"/>
          <w:color w:val="666666"/>
          <w:sz w:val="17"/>
        </w:rPr>
        <w:t xml:space="preserve">  (src/data/live.py / run_collector.py:388)</w:t>
      </w:r>
    </w:p>
    <w:p w14:paraId="3BF76C5A" w14:textId="77777777" w:rsidR="003B5575" w:rsidRDefault="00000000">
      <w:pPr>
        <w:pStyle w:val="Titre2"/>
      </w:pPr>
      <w:bookmarkStart w:id="12" w:name="_Toc231553415"/>
      <w:r>
        <w:rPr>
          <w:rFonts w:ascii="Calibri" w:hAnsi="Calibri"/>
          <w:color w:val="2E75B6"/>
        </w:rPr>
        <w:t>Étape 6 — Forward &amp; implied carry</w:t>
      </w:r>
      <w:bookmarkEnd w:id="12"/>
    </w:p>
    <w:p w14:paraId="1E0485E0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E65100"/>
        </w:rPr>
        <w:t>Partiel</w:t>
      </w:r>
    </w:p>
    <w:p w14:paraId="2E90A4C3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parity_forward (Eq.2), liquidity_weight, weighted_mean (Eq.4), implied_carry (Eq.5), robust_zscore_mad (Eq.24), score de confiance, seuil min de candidats, quality flags.</w:t>
      </w:r>
    </w:p>
    <w:p w14:paraId="7E0DA421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6C5E7747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Diagnostics par candidat NON persistés : forward_result_to_dict supprime la liste des ForwardCandidate (strike, résidu de parité, poids). La roadmap exige « keep every intermediate candidate row for audit ».</w:t>
      </w:r>
      <w:r>
        <w:rPr>
          <w:rFonts w:ascii="Consolas" w:hAnsi="Consolas"/>
          <w:color w:val="666666"/>
          <w:sz w:val="17"/>
        </w:rPr>
        <w:t xml:space="preserve">  (src/forwards/engine.py:240)</w:t>
      </w:r>
    </w:p>
    <w:p w14:paraId="7F12D134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Pas de lissage de la structure par terme des forwards ; chaque maturité est estimée indépendamment.</w:t>
      </w:r>
      <w:r>
        <w:rPr>
          <w:rFonts w:ascii="Consolas" w:hAnsi="Consolas"/>
          <w:color w:val="666666"/>
          <w:sz w:val="17"/>
        </w:rPr>
        <w:t xml:space="preserve">  (src/forwards/engine.py)</w:t>
      </w:r>
    </w:p>
    <w:p w14:paraId="0FF0C62F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Taux constant (0.053) — pas de courbe de taux ; le carry implicite n'est comparé à aucune attente (diagnostic absent).</w:t>
      </w:r>
      <w:r>
        <w:rPr>
          <w:rFonts w:ascii="Consolas" w:hAnsi="Consolas"/>
          <w:color w:val="666666"/>
          <w:sz w:val="17"/>
        </w:rPr>
        <w:t xml:space="preserve">  (configs/pricing.yaml)</w:t>
      </w:r>
    </w:p>
    <w:p w14:paraId="22EFAA28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Politique de fallback implicite (revert vers tous les candidats / médiane) plutôt qu'un objet fallback policy explicite.</w:t>
      </w:r>
      <w:r>
        <w:rPr>
          <w:rFonts w:ascii="Consolas" w:hAnsi="Consolas"/>
          <w:color w:val="666666"/>
          <w:sz w:val="17"/>
        </w:rPr>
        <w:t xml:space="preserve">  (src/forwards/engine.py:201)</w:t>
      </w:r>
    </w:p>
    <w:p w14:paraId="5F5F7308" w14:textId="77777777" w:rsidR="003B5575" w:rsidRDefault="00000000">
      <w:pPr>
        <w:pStyle w:val="Titre2"/>
      </w:pPr>
      <w:bookmarkStart w:id="13" w:name="_Toc231553416"/>
      <w:r>
        <w:rPr>
          <w:rFonts w:ascii="Calibri" w:hAnsi="Calibri"/>
          <w:color w:val="2E75B6"/>
        </w:rPr>
        <w:t>Étape 7 — Normalisation &amp; QC des quotes</w:t>
      </w:r>
      <w:bookmarkEnd w:id="13"/>
    </w:p>
    <w:p w14:paraId="6BCCE414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E65100"/>
        </w:rPr>
        <w:t>Partiel</w:t>
      </w:r>
    </w:p>
    <w:p w14:paraId="2E56BBDE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Flag is_usable + reject_reason par quote, détection spread anormal / crossed-locked / stale, conservation de la chaîne complète ET filtrée (rejets auditables).</w:t>
      </w:r>
    </w:p>
    <w:p w14:paraId="5071FD01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4003E289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min_open_interest (=10 dans qc.yaml) JAMAIS appliqué dans le chemin live — aucune quote n'est rejetée sur l'open interest.</w:t>
      </w:r>
      <w:r>
        <w:rPr>
          <w:rFonts w:ascii="Consolas" w:hAnsi="Consolas"/>
          <w:color w:val="666666"/>
          <w:sz w:val="17"/>
        </w:rPr>
        <w:t xml:space="preserve">  (src/data/live.py:341)</w:t>
      </w:r>
    </w:p>
    <w:p w14:paraId="70166D12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Les décisions de rejet sont des if/elif inline, pas une librairie de checks nommés et journalisés séparément (« do not implement QC as a monolithic if-statement »).</w:t>
      </w:r>
      <w:r>
        <w:rPr>
          <w:rFonts w:ascii="Consolas" w:hAnsi="Consolas"/>
          <w:color w:val="666666"/>
          <w:sz w:val="17"/>
        </w:rPr>
        <w:t xml:space="preserve">  (src/data/live.py:347)</w:t>
      </w:r>
    </w:p>
    <w:p w14:paraId="27633A6F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Pas de rejet d'outliers sur les IV préliminaires au stade quote (l'outlier rejection n'existe que dans le forward engine).</w:t>
      </w:r>
    </w:p>
    <w:p w14:paraId="24C58792" w14:textId="77777777" w:rsidR="003B5575" w:rsidRDefault="00000000">
      <w:pPr>
        <w:pStyle w:val="Titre2"/>
      </w:pPr>
      <w:bookmarkStart w:id="14" w:name="_Toc231553417"/>
      <w:r>
        <w:rPr>
          <w:rFonts w:ascii="Calibri" w:hAnsi="Calibri"/>
          <w:color w:val="2E75B6"/>
        </w:rPr>
        <w:t>Étape 8 — Solveur d'IV</w:t>
      </w:r>
      <w:bookmarkEnd w:id="14"/>
    </w:p>
    <w:p w14:paraId="48EEBE4F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2E7D32"/>
        </w:rPr>
        <w:t>Conforme</w:t>
      </w:r>
    </w:p>
    <w:p w14:paraId="0A07C77A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Brent bracketé (européen) + inversion AMÉRICAINE via CRR, bornes intrinsèque/supérieure, IvSolveResult complet (converged, iterations, residual, bounds, failure_reason, model), batch solve_chain_iv, log-moneyness + variance totale. Round-trip testé.</w:t>
      </w:r>
    </w:p>
    <w:p w14:paraId="677C4093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24C63C84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Accélérateur Newton « inside a safe bracket » annoncé dans le docstring mais non implémenté (Brent pur).</w:t>
      </w:r>
      <w:r>
        <w:rPr>
          <w:rFonts w:ascii="Consolas" w:hAnsi="Consolas"/>
          <w:color w:val="666666"/>
          <w:sz w:val="17"/>
        </w:rPr>
        <w:t xml:space="preserve">  (src/iv/solver.py:5)</w:t>
      </w:r>
    </w:p>
    <w:p w14:paraId="640C6A1E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Coordonnée delta (« delta if available ») absente de la table iv_points.</w:t>
      </w:r>
      <w:r>
        <w:rPr>
          <w:rFonts w:ascii="Consolas" w:hAnsi="Consolas"/>
          <w:color w:val="666666"/>
          <w:sz w:val="17"/>
        </w:rPr>
        <w:t xml:space="preserve">  (src/iv/solver.py:285)</w:t>
      </w:r>
    </w:p>
    <w:p w14:paraId="4B4FFCC1" w14:textId="77777777" w:rsidR="003B5575" w:rsidRDefault="00000000">
      <w:pPr>
        <w:pStyle w:val="Titre2"/>
      </w:pPr>
      <w:bookmarkStart w:id="15" w:name="_Toc231553418"/>
      <w:r>
        <w:rPr>
          <w:rFonts w:ascii="Calibri" w:hAnsi="Calibri"/>
          <w:color w:val="2E75B6"/>
        </w:rPr>
        <w:t>Étape 9 — Surface engine</w:t>
      </w:r>
      <w:bookmarkEnd w:id="15"/>
    </w:p>
    <w:p w14:paraId="56A05B9E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E65100"/>
        </w:rPr>
        <w:t>Partiel</w:t>
      </w:r>
    </w:p>
    <w:p w14:paraId="60E79EA1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SVI par tranche (Eq.20), fallback spline, monotonie calendaire (Eq.21), no-arbitrage papillon (au-dessus du minimum), RMSE/max_error, grille reconstruite, robustesse DataFrame vide.</w:t>
      </w:r>
    </w:p>
    <w:p w14:paraId="30BD6559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6CE5DF85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lastRenderedPageBreak/>
        <w:t xml:space="preserve">[Manquant] </w:t>
      </w:r>
      <w:r>
        <w:rPr>
          <w:sz w:val="19"/>
        </w:rPr>
        <w:t>surface_parameters (a,b,ρ,m,σ) calculés mais JAMAIS persistés : surface_to_dataframe n'écrit que la grille. La roadmap exige « save both fitted parameters AND reconstructed grid values ».</w:t>
      </w:r>
      <w:r>
        <w:rPr>
          <w:rFonts w:ascii="Consolas" w:hAnsi="Consolas"/>
          <w:color w:val="666666"/>
          <w:sz w:val="17"/>
        </w:rPr>
        <w:t xml:space="preserve">  (calc src/surfaces/calibration.py:127 ; écriture absente)</w:t>
      </w:r>
    </w:p>
    <w:p w14:paraId="49BCE980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Eq.22 — interpolation de variance cross-maturité absente : aucune fonction pour la vol à une maturité arbitraire entre deux tranches (surface slice-par-slice seulement).</w:t>
      </w:r>
      <w:r>
        <w:rPr>
          <w:rFonts w:ascii="Consolas" w:hAnsi="Consolas"/>
          <w:color w:val="666666"/>
          <w:sz w:val="17"/>
        </w:rPr>
        <w:t xml:space="preserve">  (0 occurrence d'interp. cross-maturité)</w:t>
      </w:r>
    </w:p>
    <w:p w14:paraId="6F56BAD3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Points IV rejetés et warnings de fit non stockés (« store rejected points and fit warnings »).</w:t>
      </w:r>
      <w:r>
        <w:rPr>
          <w:rFonts w:ascii="Consolas" w:hAnsi="Consolas"/>
          <w:color w:val="666666"/>
          <w:sz w:val="17"/>
        </w:rPr>
        <w:t xml:space="preserve">  (src/surfaces/calibration.py:288)</w:t>
      </w:r>
    </w:p>
    <w:p w14:paraId="6D4A1CFF" w14:textId="77777777" w:rsidR="003B5575" w:rsidRDefault="00000000">
      <w:pPr>
        <w:pStyle w:val="Titre2"/>
      </w:pPr>
      <w:bookmarkStart w:id="16" w:name="_Toc231553419"/>
      <w:r>
        <w:rPr>
          <w:rFonts w:ascii="Calibri" w:hAnsi="Calibri"/>
          <w:color w:val="2E75B6"/>
        </w:rPr>
        <w:t>Étape 10 — Pricing engine</w:t>
      </w:r>
      <w:bookmarkEnd w:id="16"/>
    </w:p>
    <w:p w14:paraId="4F4755A7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2E7D32"/>
        </w:rPr>
        <w:t>Conforme</w:t>
      </w:r>
    </w:p>
    <w:p w14:paraId="7EADBA9C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Black-76 européen + Greeks analytiques (Eq.8–18), arbre CRR américain, objets résultats typés, tests de référence (convergence américain→européen, parité), conventions documentées.</w:t>
      </w:r>
    </w:p>
    <w:p w14:paraId="69DCF5CB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5CCE6827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Pas d'API de pricing vectorisée (« scalar AND vectorized interfaces ») — calcul scalaire uniquement.</w:t>
      </w:r>
      <w:r>
        <w:rPr>
          <w:rFonts w:ascii="Consolas" w:hAnsi="Consolas"/>
          <w:color w:val="666666"/>
          <w:sz w:val="17"/>
        </w:rPr>
        <w:t xml:space="preserve">  (src/pricing/european.py)</w:t>
      </w:r>
    </w:p>
    <w:p w14:paraId="757E8039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Table pricing_results non matérialisée (prix+Greeks par contrat) — voir étape 4.</w:t>
      </w:r>
    </w:p>
    <w:p w14:paraId="110A05AB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Pas de tests de performance / benchmark fixtures.</w:t>
      </w:r>
      <w:r>
        <w:rPr>
          <w:rFonts w:ascii="Consolas" w:hAnsi="Consolas"/>
          <w:color w:val="666666"/>
          <w:sz w:val="17"/>
        </w:rPr>
        <w:t xml:space="preserve">  (tests/)</w:t>
      </w:r>
    </w:p>
    <w:p w14:paraId="48882772" w14:textId="77777777" w:rsidR="003B5575" w:rsidRDefault="00000000">
      <w:pPr>
        <w:pStyle w:val="Titre2"/>
      </w:pPr>
      <w:bookmarkStart w:id="17" w:name="_Toc231553420"/>
      <w:r>
        <w:rPr>
          <w:rFonts w:ascii="Calibri" w:hAnsi="Calibri"/>
          <w:color w:val="2E75B6"/>
        </w:rPr>
        <w:t>Étape 11 — Greeks &amp; per-position risk</w:t>
      </w:r>
      <w:bookmarkEnd w:id="17"/>
    </w:p>
    <w:p w14:paraId="2A5E0E57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E65100"/>
        </w:rPr>
        <w:t>Partiel</w:t>
      </w:r>
    </w:p>
    <w:p w14:paraId="7558F5D8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compute_position_risk (prix+Greeks+monétisés ligne à ligne), Position, enrich_portfolio_greeks depuis le portefeuille IBKR, IV résolue depuis le prix de marché, dollar gamma/vega.</w:t>
      </w:r>
    </w:p>
    <w:p w14:paraId="70DC624A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51B3B6C7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aggregate_risk() défini mais JAMAIS appelé (dead code) — aucun agrégat groupé produit ni persisté. La page Greeks fait un .sum() à plat, sans groupby underlying/maturité/desk. La table « risk_aggregates » contient en réalité du ligne-à-ligne.</w:t>
      </w:r>
      <w:r>
        <w:rPr>
          <w:rFonts w:ascii="Consolas" w:hAnsi="Consolas"/>
          <w:color w:val="666666"/>
          <w:sz w:val="17"/>
        </w:rPr>
        <w:t xml:space="preserve">  (def aggregation.py:133 ; somme pages/greeks.py:121)</w:t>
      </w:r>
    </w:p>
    <w:p w14:paraId="7677E0E8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Réconciliation Greeks broker vs plateforme absente : les Greeks broker sont captés dans les raw events mais jamais comparés (« reconcile against broker-returned Greeks if available »).</w:t>
      </w:r>
      <w:r>
        <w:rPr>
          <w:rFonts w:ascii="Consolas" w:hAnsi="Consolas"/>
          <w:color w:val="666666"/>
          <w:sz w:val="17"/>
        </w:rPr>
        <w:t xml:space="preserve">  (captés raw_writer.py:209 ; 0 réconciliation)</w:t>
      </w:r>
    </w:p>
    <w:p w14:paraId="6FFC24B5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Réconciliation finite-difference vs analytique absente, alors qu'exigée (« reconciles against finite-difference checks ») : les bumps de pricing.yaml ne sont utilisés nulle part.</w:t>
      </w:r>
      <w:r>
        <w:rPr>
          <w:rFonts w:ascii="Consolas" w:hAnsi="Consolas"/>
          <w:color w:val="666666"/>
          <w:sz w:val="17"/>
        </w:rPr>
        <w:t xml:space="preserve">  (configs/pricing.yaml:12 ; 0 usage)</w:t>
      </w:r>
    </w:p>
    <w:p w14:paraId="37191A7B" w14:textId="77777777" w:rsidR="003B5575" w:rsidRDefault="00000000">
      <w:pPr>
        <w:pStyle w:val="Titre2"/>
      </w:pPr>
      <w:bookmarkStart w:id="18" w:name="_Toc231553421"/>
      <w:r>
        <w:rPr>
          <w:rFonts w:ascii="Calibri" w:hAnsi="Calibri"/>
          <w:color w:val="2E75B6"/>
        </w:rPr>
        <w:t>Étape 12 — Scénario engine</w:t>
      </w:r>
      <w:bookmarkEnd w:id="18"/>
    </w:p>
    <w:p w14:paraId="5919BBB8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2E7D32"/>
        </w:rPr>
        <w:t>Conforme</w:t>
      </w:r>
    </w:p>
    <w:p w14:paraId="4B437648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Scenario typé, grille versionnée (7 scénarios dans scenarios.yaml), repricing complet (source de vérité) + approximation Greeks (Eq.19), top contributeurs, attribution par ligne, scenario_results persistés.</w:t>
      </w:r>
    </w:p>
    <w:p w14:paraId="761D8C55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669D9376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Familles optionnelles non couvertes (rotations de courbe / skew twists) — explicitement « layerable later » par la roadmap, donc acceptable à ce stade.</w:t>
      </w:r>
    </w:p>
    <w:p w14:paraId="462EF600" w14:textId="77777777" w:rsidR="003B5575" w:rsidRDefault="00000000">
      <w:pPr>
        <w:pStyle w:val="Titre2"/>
      </w:pPr>
      <w:bookmarkStart w:id="19" w:name="_Toc231553422"/>
      <w:r>
        <w:rPr>
          <w:rFonts w:ascii="Calibri" w:hAnsi="Calibri"/>
          <w:color w:val="2E75B6"/>
        </w:rPr>
        <w:t>Étape 13 — Reconstruction historique &amp; replay</w:t>
      </w:r>
      <w:bookmarkEnd w:id="19"/>
    </w:p>
    <w:p w14:paraId="12A03991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2E7D32"/>
        </w:rPr>
        <w:t>Conforme-</w:t>
      </w:r>
    </w:p>
    <w:p w14:paraId="27CD21CE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replay_pipeline sur plage de dates (même code path que le live), reconstruction autonome de l'univers depuis les clés brutes, gestion des partitions manquantes, compare_replay_vs_live, manifest par run.</w:t>
      </w:r>
    </w:p>
    <w:p w14:paraId="0396A32C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44FE7F77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Versionnement physique manquant : replay réécrit le MÊME data.parquet du dt (write écrase). La roadmap exige « write to versioned historical partitions rather than overwriting ». Le run_id est dans les lignes mais le fichier est écrasé.</w:t>
      </w:r>
      <w:r>
        <w:rPr>
          <w:rFonts w:ascii="Consolas" w:hAnsi="Consolas"/>
          <w:color w:val="666666"/>
          <w:sz w:val="17"/>
        </w:rPr>
        <w:t xml:space="preserve">  (src/orchestration/jobs.py:432 / schemas.py:40)</w:t>
      </w:r>
    </w:p>
    <w:p w14:paraId="726CBFB6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compare_replay_vs_live existe mais n'est pas branché automatiquement au job de replay.</w:t>
      </w:r>
      <w:r>
        <w:rPr>
          <w:rFonts w:ascii="Consolas" w:hAnsi="Consolas"/>
          <w:color w:val="666666"/>
          <w:sz w:val="17"/>
        </w:rPr>
        <w:t xml:space="preserve">  (src/orchestration/jobs.py:466)</w:t>
      </w:r>
    </w:p>
    <w:p w14:paraId="51038DE5" w14:textId="77777777" w:rsidR="003B5575" w:rsidRDefault="00000000">
      <w:pPr>
        <w:pStyle w:val="Titre2"/>
      </w:pPr>
      <w:bookmarkStart w:id="20" w:name="_Toc231553423"/>
      <w:r>
        <w:rPr>
          <w:rFonts w:ascii="Calibri" w:hAnsi="Calibri"/>
          <w:color w:val="2E75B6"/>
        </w:rPr>
        <w:lastRenderedPageBreak/>
        <w:t>Étape 14 — Validation framework &amp; anomalies</w:t>
      </w:r>
      <w:bookmarkEnd w:id="20"/>
    </w:p>
    <w:p w14:paraId="10676FDF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E65100"/>
        </w:rPr>
        <w:t>Partiel</w:t>
      </w:r>
    </w:p>
    <w:p w14:paraId="6B3B8424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Checks nommés (QcResult status/severity/measured/threshold/reason_code/context), baselines MAD, détection d'anomalies (z robuste), table de triage, historique QC — au-dessus du minimum.</w:t>
      </w:r>
    </w:p>
    <w:p w14:paraId="654959E1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4A09EFDE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Check « option chain coverage » (nb min de calls/puts éligibles par maturité) absent.</w:t>
      </w:r>
      <w:r>
        <w:rPr>
          <w:rFonts w:ascii="Consolas" w:hAnsi="Consolas"/>
          <w:color w:val="666666"/>
          <w:sz w:val="17"/>
        </w:rPr>
        <w:t xml:space="preserve">  (src/qc/checks.py)</w:t>
      </w:r>
    </w:p>
    <w:p w14:paraId="7A43FD66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Check « parity residual » (résidu de parité par strike) absent en tant que check QC nommé.</w:t>
      </w:r>
      <w:r>
        <w:rPr>
          <w:rFonts w:ascii="Consolas" w:hAnsi="Consolas"/>
          <w:color w:val="666666"/>
          <w:sz w:val="17"/>
        </w:rPr>
        <w:t xml:space="preserve">  (src/qc/checks.py)</w:t>
      </w:r>
    </w:p>
    <w:p w14:paraId="1D5D2586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Check « Greek sanity » (finite-diff vs analytique) absent — voir étape 11.</w:t>
      </w:r>
    </w:p>
    <w:p w14:paraId="197535B6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Politique d'escalade S1–S4 documentée (docs/runbooks.md) mais non codée comme routage (mapping sévérité → owner → SLA).</w:t>
      </w:r>
      <w:r>
        <w:rPr>
          <w:rFonts w:ascii="Consolas" w:hAnsi="Consolas"/>
          <w:color w:val="666666"/>
          <w:sz w:val="17"/>
        </w:rPr>
        <w:t xml:space="preserve">  (docs/runbooks.md:111)</w:t>
      </w:r>
    </w:p>
    <w:p w14:paraId="409A4B27" w14:textId="77777777" w:rsidR="003B5575" w:rsidRDefault="00000000">
      <w:pPr>
        <w:pStyle w:val="Titre2"/>
      </w:pPr>
      <w:bookmarkStart w:id="21" w:name="_Toc231553424"/>
      <w:r>
        <w:rPr>
          <w:rFonts w:ascii="Calibri" w:hAnsi="Calibri"/>
          <w:color w:val="2E75B6"/>
        </w:rPr>
        <w:t>Étape 15 — Orchestration, logging &amp; observabilité</w:t>
      </w:r>
      <w:bookmarkEnd w:id="21"/>
    </w:p>
    <w:p w14:paraId="7A41EE4E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E65100"/>
        </w:rPr>
        <w:t>Partiel</w:t>
      </w:r>
    </w:p>
    <w:p w14:paraId="4E60300E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Boucle collecteur always-on, isolation collecteur/dashboard, manifests, alerts.json, collector_status.json, logs structurés (loguru), reconnexion, dashboard Dash 10 pages (3 couches de santé).</w:t>
      </w:r>
    </w:p>
    <w:p w14:paraId="5B205D87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03B0F916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Pas de scheduler système (cron/systemd/Airflow) — boucle in-process seulement. Limitation assumée dans docs/known_limitations.md.</w:t>
      </w:r>
      <w:r>
        <w:rPr>
          <w:rFonts w:ascii="Consolas" w:hAnsi="Consolas"/>
          <w:color w:val="666666"/>
          <w:sz w:val="17"/>
        </w:rPr>
        <w:t xml:space="preserve">  (run_collector.py:512)</w:t>
      </w:r>
    </w:p>
    <w:p w14:paraId="375069D4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Correlation IDs absents : collector_session_id et run_id existent mais ne sont pas tissés ensemble dans les logs pour relier sessions de collecte et jobs.</w:t>
      </w:r>
    </w:p>
    <w:p w14:paraId="22F8C3A2" w14:textId="77777777" w:rsidR="003B5575" w:rsidRDefault="00000000">
      <w:pPr>
        <w:pStyle w:val="Listepuces"/>
        <w:spacing w:after="40"/>
      </w:pPr>
      <w:r>
        <w:rPr>
          <w:b/>
          <w:color w:val="B71C1C"/>
          <w:sz w:val="18"/>
        </w:rPr>
        <w:t xml:space="preserve">[Manquant] </w:t>
      </w:r>
      <w:r>
        <w:rPr>
          <w:sz w:val="19"/>
        </w:rPr>
        <w:t>Routage d'alertes externe (email/Slack) absent — alerts.json local seulement (limitation assumée).</w:t>
      </w:r>
      <w:r>
        <w:rPr>
          <w:rFonts w:ascii="Consolas" w:hAnsi="Consolas"/>
          <w:color w:val="666666"/>
          <w:sz w:val="17"/>
        </w:rPr>
        <w:t xml:space="preserve">  (run_collector.py:393)</w:t>
      </w:r>
    </w:p>
    <w:p w14:paraId="3C75DA9E" w14:textId="77777777" w:rsidR="003B5575" w:rsidRDefault="00000000">
      <w:pPr>
        <w:pStyle w:val="Listepuces"/>
        <w:spacing w:after="40"/>
      </w:pPr>
      <w:r>
        <w:rPr>
          <w:b/>
          <w:color w:val="E65100"/>
          <w:sz w:val="18"/>
        </w:rPr>
        <w:t xml:space="preserve">[Partiel] </w:t>
      </w:r>
      <w:r>
        <w:rPr>
          <w:sz w:val="19"/>
        </w:rPr>
        <w:t>Catalogue de métriques (Part XIV) partiel : quelques métriques dans le statut, mais pas l'ensemble (event rates, stale ratios, bounds-hit, runtimes…).</w:t>
      </w:r>
    </w:p>
    <w:p w14:paraId="1050C527" w14:textId="77777777" w:rsidR="003B5575" w:rsidRDefault="00000000">
      <w:pPr>
        <w:pStyle w:val="Titre2"/>
      </w:pPr>
      <w:bookmarkStart w:id="22" w:name="_Toc231553425"/>
      <w:r>
        <w:rPr>
          <w:rFonts w:ascii="Calibri" w:hAnsi="Calibri"/>
          <w:color w:val="2E75B6"/>
        </w:rPr>
        <w:t>Étape 16 — Handover production</w:t>
      </w:r>
      <w:bookmarkEnd w:id="22"/>
    </w:p>
    <w:p w14:paraId="05A83646" w14:textId="77777777" w:rsidR="003B5575" w:rsidRDefault="00000000">
      <w:pPr>
        <w:spacing w:after="80"/>
      </w:pPr>
      <w:r>
        <w:rPr>
          <w:b/>
        </w:rPr>
        <w:t xml:space="preserve">Statut : </w:t>
      </w:r>
      <w:r>
        <w:rPr>
          <w:b/>
          <w:color w:val="2E7D32"/>
        </w:rPr>
        <w:t>Conforme-</w:t>
      </w:r>
    </w:p>
    <w:p w14:paraId="2136CB63" w14:textId="77777777" w:rsidR="003B5575" w:rsidRDefault="00000000">
      <w:pPr>
        <w:spacing w:after="60"/>
      </w:pPr>
      <w:r>
        <w:rPr>
          <w:b/>
          <w:color w:val="2E7D32"/>
          <w:sz w:val="19"/>
        </w:rPr>
        <w:t xml:space="preserve">Déjà en place. </w:t>
      </w:r>
      <w:r>
        <w:rPr>
          <w:sz w:val="19"/>
        </w:rPr>
        <w:t>docs/ couvre l'essentiel : environment.md, runbooks.md (5 runbooks SOD/intraday/EOD/replay/incident + sévérités), release_checklist.md (catégories A/B/C + rollback), known_limitations.md, interface_contracts.md (signatures gelées + schémas).</w:t>
      </w:r>
    </w:p>
    <w:p w14:paraId="4E255208" w14:textId="77777777" w:rsidR="003B5575" w:rsidRDefault="00000000">
      <w:pPr>
        <w:spacing w:after="40"/>
      </w:pPr>
      <w:r>
        <w:rPr>
          <w:b/>
          <w:color w:val="B71C1C"/>
          <w:sz w:val="19"/>
        </w:rPr>
        <w:t>Ce qui manque :</w:t>
      </w:r>
    </w:p>
    <w:p w14:paraId="08C8D82C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Pas de README par module (« every module should have a README »).</w:t>
      </w:r>
      <w:r>
        <w:rPr>
          <w:rFonts w:ascii="Consolas" w:hAnsi="Consolas"/>
          <w:color w:val="666666"/>
          <w:sz w:val="17"/>
        </w:rPr>
        <w:t xml:space="preserve">  (docs/)</w:t>
      </w:r>
    </w:p>
    <w:p w14:paraId="1C19CC9B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Pas de diagramme d'architecture dédié (architecture_overview) — seulement de l'ASCII dans README/CLAUDE.</w:t>
      </w:r>
      <w:r>
        <w:rPr>
          <w:rFonts w:ascii="Consolas" w:hAnsi="Consolas"/>
          <w:color w:val="666666"/>
          <w:sz w:val="17"/>
        </w:rPr>
        <w:t xml:space="preserve">  (docs/)</w:t>
      </w:r>
    </w:p>
    <w:p w14:paraId="24CB07C3" w14:textId="77777777" w:rsidR="003B5575" w:rsidRDefault="00000000">
      <w:pPr>
        <w:pStyle w:val="Listepuces"/>
        <w:spacing w:after="40"/>
      </w:pPr>
      <w:r>
        <w:rPr>
          <w:b/>
          <w:color w:val="B7950B"/>
          <w:sz w:val="18"/>
        </w:rPr>
        <w:t xml:space="preserve">[Mineur] </w:t>
      </w:r>
      <w:r>
        <w:rPr>
          <w:sz w:val="19"/>
        </w:rPr>
        <w:t>schemas.md pas en version champ-par-champ + règles de partitionnement (le cœur est dans interface_contracts.md).</w:t>
      </w:r>
      <w:r>
        <w:rPr>
          <w:rFonts w:ascii="Consolas" w:hAnsi="Consolas"/>
          <w:color w:val="666666"/>
          <w:sz w:val="17"/>
        </w:rPr>
        <w:t xml:space="preserve">  (docs/interface_contracts.md)</w:t>
      </w:r>
    </w:p>
    <w:p w14:paraId="1BF59930" w14:textId="77777777" w:rsidR="003B5575" w:rsidRDefault="00000000">
      <w:r>
        <w:br w:type="page"/>
      </w:r>
    </w:p>
    <w:p w14:paraId="380275A5" w14:textId="77777777" w:rsidR="003B5575" w:rsidRDefault="00000000">
      <w:pPr>
        <w:pStyle w:val="Titre1"/>
      </w:pPr>
      <w:bookmarkStart w:id="23" w:name="_Toc231553426"/>
      <w:r>
        <w:rPr>
          <w:rFonts w:ascii="Calibri" w:hAnsi="Calibri"/>
          <w:color w:val="1F3864"/>
        </w:rPr>
        <w:lastRenderedPageBreak/>
        <w:t>5. Liste exhaustive des manques, par thème</w:t>
      </w:r>
      <w:bookmarkEnd w:id="23"/>
    </w:p>
    <w:p w14:paraId="5167FF0D" w14:textId="77777777" w:rsidR="003B5575" w:rsidRDefault="00000000">
      <w:pPr>
        <w:spacing w:after="160"/>
      </w:pPr>
      <w:r>
        <w:rPr>
          <w:i/>
          <w:sz w:val="19"/>
        </w:rPr>
        <w:t>Vue transverse (recoupe la section 3). Chaque ligne porte sa preuve et sa gravité.</w:t>
      </w:r>
    </w:p>
    <w:p w14:paraId="1DB073D6" w14:textId="77777777" w:rsidR="003B5575" w:rsidRDefault="00000000">
      <w:pPr>
        <w:pStyle w:val="Titre2"/>
      </w:pPr>
      <w:bookmarkStart w:id="24" w:name="_Toc231553427"/>
      <w:r>
        <w:rPr>
          <w:rFonts w:ascii="Calibri" w:hAnsi="Calibri"/>
          <w:color w:val="2E75B6"/>
        </w:rPr>
        <w:t>A. Briques mathématiques</w:t>
      </w:r>
      <w:bookmarkEnd w:id="24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160"/>
        <w:gridCol w:w="3744"/>
        <w:gridCol w:w="1296"/>
      </w:tblGrid>
      <w:tr w:rsidR="003B5575" w14:paraId="6E45F9FC" w14:textId="77777777">
        <w:trPr>
          <w:jc w:val="center"/>
        </w:trPr>
        <w:tc>
          <w:tcPr>
            <w:tcW w:w="2736" w:type="dxa"/>
            <w:shd w:val="clear" w:color="auto" w:fill="1F3864"/>
            <w:vAlign w:val="center"/>
          </w:tcPr>
          <w:p w14:paraId="1558919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Élément manquant</w:t>
            </w:r>
          </w:p>
        </w:tc>
        <w:tc>
          <w:tcPr>
            <w:tcW w:w="2160" w:type="dxa"/>
            <w:shd w:val="clear" w:color="auto" w:fill="1F3864"/>
            <w:vAlign w:val="center"/>
          </w:tcPr>
          <w:p w14:paraId="01D708B5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Exigé par (roadmap)</w:t>
            </w:r>
          </w:p>
        </w:tc>
        <w:tc>
          <w:tcPr>
            <w:tcW w:w="3744" w:type="dxa"/>
            <w:shd w:val="clear" w:color="auto" w:fill="1F3864"/>
            <w:vAlign w:val="center"/>
          </w:tcPr>
          <w:p w14:paraId="3175C4F9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Preuve dans le code</w:t>
            </w:r>
          </w:p>
        </w:tc>
        <w:tc>
          <w:tcPr>
            <w:tcW w:w="1296" w:type="dxa"/>
            <w:shd w:val="clear" w:color="auto" w:fill="1F3864"/>
            <w:vAlign w:val="center"/>
          </w:tcPr>
          <w:p w14:paraId="0E12474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Gravité</w:t>
            </w:r>
          </w:p>
        </w:tc>
      </w:tr>
      <w:tr w:rsidR="003B5575" w14:paraId="41C41ABB" w14:textId="77777777">
        <w:trPr>
          <w:jc w:val="center"/>
        </w:trPr>
        <w:tc>
          <w:tcPr>
            <w:tcW w:w="2736" w:type="dxa"/>
            <w:vAlign w:val="center"/>
          </w:tcPr>
          <w:p w14:paraId="0D942E6A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Eq.22 — interpolation de variance cross-maturité</w:t>
            </w:r>
          </w:p>
        </w:tc>
        <w:tc>
          <w:tcPr>
            <w:tcW w:w="2160" w:type="dxa"/>
            <w:vAlign w:val="center"/>
          </w:tcPr>
          <w:p w14:paraId="08C54159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II + pseudo-code surface</w:t>
            </w:r>
          </w:p>
        </w:tc>
        <w:tc>
          <w:tcPr>
            <w:tcW w:w="3744" w:type="dxa"/>
            <w:vAlign w:val="center"/>
          </w:tcPr>
          <w:p w14:paraId="1268A696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interp. seulement intra-tranche (spline) — calibration.py:19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53CB8542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5550B69E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1B42450A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Eq.23 — identité de variance de panier / indice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585F4096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II (section dédiée)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593D9DEC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« basket » = 0 occurrence dans tout le repo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2BE04200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</w:tbl>
    <w:p w14:paraId="147AA338" w14:textId="77777777" w:rsidR="003B5575" w:rsidRDefault="00000000">
      <w:pPr>
        <w:pStyle w:val="Titre2"/>
      </w:pPr>
      <w:bookmarkStart w:id="25" w:name="_Toc231553428"/>
      <w:r>
        <w:rPr>
          <w:rFonts w:ascii="Calibri" w:hAnsi="Calibri"/>
          <w:color w:val="2E75B6"/>
        </w:rPr>
        <w:t>B. Tables du store jamais écrites (Part III.C)</w:t>
      </w:r>
      <w:bookmarkEnd w:id="25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160"/>
        <w:gridCol w:w="3744"/>
        <w:gridCol w:w="1296"/>
      </w:tblGrid>
      <w:tr w:rsidR="003B5575" w14:paraId="0DECAC02" w14:textId="77777777">
        <w:trPr>
          <w:jc w:val="center"/>
        </w:trPr>
        <w:tc>
          <w:tcPr>
            <w:tcW w:w="2736" w:type="dxa"/>
            <w:shd w:val="clear" w:color="auto" w:fill="1F3864"/>
            <w:vAlign w:val="center"/>
          </w:tcPr>
          <w:p w14:paraId="3FD44A53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Élément manquant</w:t>
            </w:r>
          </w:p>
        </w:tc>
        <w:tc>
          <w:tcPr>
            <w:tcW w:w="2160" w:type="dxa"/>
            <w:shd w:val="clear" w:color="auto" w:fill="1F3864"/>
            <w:vAlign w:val="center"/>
          </w:tcPr>
          <w:p w14:paraId="4E3427B8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Exigé par (roadmap)</w:t>
            </w:r>
          </w:p>
        </w:tc>
        <w:tc>
          <w:tcPr>
            <w:tcW w:w="3744" w:type="dxa"/>
            <w:shd w:val="clear" w:color="auto" w:fill="1F3864"/>
            <w:vAlign w:val="center"/>
          </w:tcPr>
          <w:p w14:paraId="41E4A851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Preuve dans le code</w:t>
            </w:r>
          </w:p>
        </w:tc>
        <w:tc>
          <w:tcPr>
            <w:tcW w:w="1296" w:type="dxa"/>
            <w:shd w:val="clear" w:color="auto" w:fill="1F3864"/>
            <w:vAlign w:val="center"/>
          </w:tcPr>
          <w:p w14:paraId="7C1A0988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Gravité</w:t>
            </w:r>
          </w:p>
        </w:tc>
      </w:tr>
      <w:tr w:rsidR="003B5575" w14:paraId="49386C0F" w14:textId="77777777">
        <w:trPr>
          <w:jc w:val="center"/>
        </w:trPr>
        <w:tc>
          <w:tcPr>
            <w:tcW w:w="2736" w:type="dxa"/>
            <w:vAlign w:val="center"/>
          </w:tcPr>
          <w:p w14:paraId="4B8F771B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surface_parameters (params SVI par tranche)</w:t>
            </w:r>
          </w:p>
        </w:tc>
        <w:tc>
          <w:tcPr>
            <w:tcW w:w="2160" w:type="dxa"/>
            <w:vAlign w:val="center"/>
          </w:tcPr>
          <w:p w14:paraId="59D9315B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9 + Part V.3</w:t>
            </w:r>
          </w:p>
        </w:tc>
        <w:tc>
          <w:tcPr>
            <w:tcW w:w="3744" w:type="dxa"/>
            <w:vAlign w:val="center"/>
          </w:tcPr>
          <w:p w14:paraId="7C475522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calculés calibration.py:127 ; jamais écrits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5799FAD4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4FC689BD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14965B83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pricing_results (prix + Greeks par contrat)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67415ED2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III.C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51DF7AE6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 store.write("pricing_results")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057AB6E1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3A1B4C45" w14:textId="77777777">
        <w:trPr>
          <w:jc w:val="center"/>
        </w:trPr>
        <w:tc>
          <w:tcPr>
            <w:tcW w:w="2736" w:type="dxa"/>
            <w:vAlign w:val="center"/>
          </w:tcPr>
          <w:p w14:paraId="0E9EF3C0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positions (source-of-record versionnée)</w:t>
            </w:r>
          </w:p>
        </w:tc>
        <w:tc>
          <w:tcPr>
            <w:tcW w:w="2160" w:type="dxa"/>
            <w:vAlign w:val="center"/>
          </w:tcPr>
          <w:p w14:paraId="02F9C94C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III.C</w:t>
            </w:r>
          </w:p>
        </w:tc>
        <w:tc>
          <w:tcPr>
            <w:tcW w:w="3744" w:type="dxa"/>
            <w:vAlign w:val="center"/>
          </w:tcPr>
          <w:p w14:paraId="43AC1318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 store.write("positions")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3B655930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380272B7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4449D7FF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risk_aggregates mal nommée (ligne-à-ligne)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5FF01ED0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11 (agrégats groupés)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19DAEEDA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écrit position_risk_to_dataframe — jobs.py:361</w:t>
            </w:r>
          </w:p>
        </w:tc>
        <w:tc>
          <w:tcPr>
            <w:tcW w:w="1296" w:type="dxa"/>
            <w:shd w:val="clear" w:color="auto" w:fill="E65100"/>
            <w:vAlign w:val="center"/>
          </w:tcPr>
          <w:p w14:paraId="7F09DA23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Partiel</w:t>
            </w:r>
          </w:p>
        </w:tc>
      </w:tr>
    </w:tbl>
    <w:p w14:paraId="50F7B603" w14:textId="77777777" w:rsidR="003B5575" w:rsidRDefault="00000000">
      <w:pPr>
        <w:pStyle w:val="Titre2"/>
      </w:pPr>
      <w:bookmarkStart w:id="26" w:name="_Toc231553429"/>
      <w:r>
        <w:rPr>
          <w:rFonts w:ascii="Calibri" w:hAnsi="Calibri"/>
          <w:color w:val="2E75B6"/>
        </w:rPr>
        <w:t>C. Réconciliations &amp; checks QC manquants</w:t>
      </w:r>
      <w:bookmarkEnd w:id="26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160"/>
        <w:gridCol w:w="3744"/>
        <w:gridCol w:w="1296"/>
      </w:tblGrid>
      <w:tr w:rsidR="003B5575" w14:paraId="603E45CE" w14:textId="77777777">
        <w:trPr>
          <w:jc w:val="center"/>
        </w:trPr>
        <w:tc>
          <w:tcPr>
            <w:tcW w:w="2736" w:type="dxa"/>
            <w:shd w:val="clear" w:color="auto" w:fill="1F3864"/>
            <w:vAlign w:val="center"/>
          </w:tcPr>
          <w:p w14:paraId="4A0E81A2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Élément manquant</w:t>
            </w:r>
          </w:p>
        </w:tc>
        <w:tc>
          <w:tcPr>
            <w:tcW w:w="2160" w:type="dxa"/>
            <w:shd w:val="clear" w:color="auto" w:fill="1F3864"/>
            <w:vAlign w:val="center"/>
          </w:tcPr>
          <w:p w14:paraId="298FF6F3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Exigé par (roadmap)</w:t>
            </w:r>
          </w:p>
        </w:tc>
        <w:tc>
          <w:tcPr>
            <w:tcW w:w="3744" w:type="dxa"/>
            <w:shd w:val="clear" w:color="auto" w:fill="1F3864"/>
            <w:vAlign w:val="center"/>
          </w:tcPr>
          <w:p w14:paraId="13018C9D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Preuve dans le code</w:t>
            </w:r>
          </w:p>
        </w:tc>
        <w:tc>
          <w:tcPr>
            <w:tcW w:w="1296" w:type="dxa"/>
            <w:shd w:val="clear" w:color="auto" w:fill="1F3864"/>
            <w:vAlign w:val="center"/>
          </w:tcPr>
          <w:p w14:paraId="3D7C2FB0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Gravité</w:t>
            </w:r>
          </w:p>
        </w:tc>
      </w:tr>
      <w:tr w:rsidR="003B5575" w14:paraId="2086EA67" w14:textId="77777777">
        <w:trPr>
          <w:jc w:val="center"/>
        </w:trPr>
        <w:tc>
          <w:tcPr>
            <w:tcW w:w="2736" w:type="dxa"/>
            <w:vAlign w:val="center"/>
          </w:tcPr>
          <w:p w14:paraId="5008EBFE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Greeks finite-difference vs analytique</w:t>
            </w:r>
          </w:p>
        </w:tc>
        <w:tc>
          <w:tcPr>
            <w:tcW w:w="2160" w:type="dxa"/>
            <w:vAlign w:val="center"/>
          </w:tcPr>
          <w:p w14:paraId="0152484B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11 + QC « Greek sanity »</w:t>
            </w:r>
          </w:p>
        </w:tc>
        <w:tc>
          <w:tcPr>
            <w:tcW w:w="3744" w:type="dxa"/>
            <w:vAlign w:val="center"/>
          </w:tcPr>
          <w:p w14:paraId="4CAC10A1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bumps pricing.yaml:12 jamais utilisés ; 0 occurrence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0006D0DA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0C7E2D69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72DB3587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Réconciliation Greeks broker vs plateforme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5EA167CA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11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71179203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broker greeks captés raw_writer.py:209 ; 0 réconcil.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304970E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3130E0E6" w14:textId="77777777">
        <w:trPr>
          <w:jc w:val="center"/>
        </w:trPr>
        <w:tc>
          <w:tcPr>
            <w:tcW w:w="2736" w:type="dxa"/>
            <w:vAlign w:val="center"/>
          </w:tcPr>
          <w:p w14:paraId="5FA0CB8A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QC check « option chain coverage »</w:t>
            </w:r>
          </w:p>
        </w:tc>
        <w:tc>
          <w:tcPr>
            <w:tcW w:w="2160" w:type="dxa"/>
            <w:vAlign w:val="center"/>
          </w:tcPr>
          <w:p w14:paraId="36AD6864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IV.D (10 checks min)</w:t>
            </w:r>
          </w:p>
        </w:tc>
        <w:tc>
          <w:tcPr>
            <w:tcW w:w="3744" w:type="dxa"/>
            <w:vAlign w:val="center"/>
          </w:tcPr>
          <w:p w14:paraId="358A9673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absent de src/qc/checks.py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20BA969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4A4FD8DA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3B30A58E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QC check « parity residual »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544C15CC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IV.D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05ED0B74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absent de src/qc/checks.py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71DD1A88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0B488F40" w14:textId="77777777">
        <w:trPr>
          <w:jc w:val="center"/>
        </w:trPr>
        <w:tc>
          <w:tcPr>
            <w:tcW w:w="2736" w:type="dxa"/>
            <w:vAlign w:val="center"/>
          </w:tcPr>
          <w:p w14:paraId="743F105D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aggregate_risk() câblé + agrégats persistés</w:t>
            </w:r>
          </w:p>
        </w:tc>
        <w:tc>
          <w:tcPr>
            <w:tcW w:w="2160" w:type="dxa"/>
            <w:vAlign w:val="center"/>
          </w:tcPr>
          <w:p w14:paraId="3263B294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11 (line-level AND aggregate)</w:t>
            </w:r>
          </w:p>
        </w:tc>
        <w:tc>
          <w:tcPr>
            <w:tcW w:w="3744" w:type="dxa"/>
            <w:vAlign w:val="center"/>
          </w:tcPr>
          <w:p w14:paraId="35C695BB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def aggregation.py:133 jamais appelé ; .sum() greeks.py:121</w:t>
            </w:r>
          </w:p>
        </w:tc>
        <w:tc>
          <w:tcPr>
            <w:tcW w:w="1296" w:type="dxa"/>
            <w:shd w:val="clear" w:color="auto" w:fill="E65100"/>
            <w:vAlign w:val="center"/>
          </w:tcPr>
          <w:p w14:paraId="1E6B0918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Partiel</w:t>
            </w:r>
          </w:p>
        </w:tc>
      </w:tr>
    </w:tbl>
    <w:p w14:paraId="79AC4032" w14:textId="77777777" w:rsidR="003B5575" w:rsidRDefault="00000000">
      <w:pPr>
        <w:pStyle w:val="Titre2"/>
      </w:pPr>
      <w:bookmarkStart w:id="27" w:name="_Toc231553430"/>
      <w:r>
        <w:rPr>
          <w:rFonts w:ascii="Calibri" w:hAnsi="Calibri"/>
          <w:color w:val="2E75B6"/>
        </w:rPr>
        <w:t>D. Diagnostics calculés mais non persistés (auditabilité)</w:t>
      </w:r>
      <w:bookmarkEnd w:id="27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160"/>
        <w:gridCol w:w="3744"/>
        <w:gridCol w:w="1296"/>
      </w:tblGrid>
      <w:tr w:rsidR="003B5575" w14:paraId="0612620F" w14:textId="77777777">
        <w:trPr>
          <w:jc w:val="center"/>
        </w:trPr>
        <w:tc>
          <w:tcPr>
            <w:tcW w:w="2736" w:type="dxa"/>
            <w:shd w:val="clear" w:color="auto" w:fill="1F3864"/>
            <w:vAlign w:val="center"/>
          </w:tcPr>
          <w:p w14:paraId="6027B5F9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Élément manquant</w:t>
            </w:r>
          </w:p>
        </w:tc>
        <w:tc>
          <w:tcPr>
            <w:tcW w:w="2160" w:type="dxa"/>
            <w:shd w:val="clear" w:color="auto" w:fill="1F3864"/>
            <w:vAlign w:val="center"/>
          </w:tcPr>
          <w:p w14:paraId="6E7CFC61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Exigé par (roadmap)</w:t>
            </w:r>
          </w:p>
        </w:tc>
        <w:tc>
          <w:tcPr>
            <w:tcW w:w="3744" w:type="dxa"/>
            <w:shd w:val="clear" w:color="auto" w:fill="1F3864"/>
            <w:vAlign w:val="center"/>
          </w:tcPr>
          <w:p w14:paraId="4BEAF6CB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Preuve dans le code</w:t>
            </w:r>
          </w:p>
        </w:tc>
        <w:tc>
          <w:tcPr>
            <w:tcW w:w="1296" w:type="dxa"/>
            <w:shd w:val="clear" w:color="auto" w:fill="1F3864"/>
            <w:vAlign w:val="center"/>
          </w:tcPr>
          <w:p w14:paraId="100AB6C5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Gravité</w:t>
            </w:r>
          </w:p>
        </w:tc>
      </w:tr>
      <w:tr w:rsidR="003B5575" w14:paraId="7B750995" w14:textId="77777777">
        <w:trPr>
          <w:jc w:val="center"/>
        </w:trPr>
        <w:tc>
          <w:tcPr>
            <w:tcW w:w="2736" w:type="dxa"/>
            <w:vAlign w:val="center"/>
          </w:tcPr>
          <w:p w14:paraId="0A489FA9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Diagnostics forward par strike (candidats)</w:t>
            </w:r>
          </w:p>
        </w:tc>
        <w:tc>
          <w:tcPr>
            <w:tcW w:w="2160" w:type="dxa"/>
            <w:vAlign w:val="center"/>
          </w:tcPr>
          <w:p w14:paraId="1F21D171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6 (« keep every candidate row »)</w:t>
            </w:r>
          </w:p>
        </w:tc>
        <w:tc>
          <w:tcPr>
            <w:tcW w:w="3744" w:type="dxa"/>
            <w:vAlign w:val="center"/>
          </w:tcPr>
          <w:p w14:paraId="6F6C949E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drop dans forward_result_to_dict — engine.py:240</w:t>
            </w:r>
          </w:p>
        </w:tc>
        <w:tc>
          <w:tcPr>
            <w:tcW w:w="1296" w:type="dxa"/>
            <w:shd w:val="clear" w:color="auto" w:fill="E65100"/>
            <w:vAlign w:val="center"/>
          </w:tcPr>
          <w:p w14:paraId="338E76E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Partiel</w:t>
            </w:r>
          </w:p>
        </w:tc>
      </w:tr>
      <w:tr w:rsidR="003B5575" w14:paraId="6831B178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53FD8EC4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Points IV rejetés + warnings de fit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415AD5F0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9 (« store rejected points »)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54CE1EC5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non écrits — calibration.py:288</w:t>
            </w:r>
          </w:p>
        </w:tc>
        <w:tc>
          <w:tcPr>
            <w:tcW w:w="1296" w:type="dxa"/>
            <w:shd w:val="clear" w:color="auto" w:fill="E65100"/>
            <w:vAlign w:val="center"/>
          </w:tcPr>
          <w:p w14:paraId="027F4975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Partiel</w:t>
            </w:r>
          </w:p>
        </w:tc>
      </w:tr>
      <w:tr w:rsidR="003B5575" w14:paraId="2C9205FE" w14:textId="77777777">
        <w:trPr>
          <w:jc w:val="center"/>
        </w:trPr>
        <w:tc>
          <w:tcPr>
            <w:tcW w:w="2736" w:type="dxa"/>
            <w:vAlign w:val="center"/>
          </w:tcPr>
          <w:p w14:paraId="557229A1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Payloads broker bruts (instrument master)</w:t>
            </w:r>
          </w:p>
        </w:tc>
        <w:tc>
          <w:tcPr>
            <w:tcW w:w="2160" w:type="dxa"/>
            <w:vAlign w:val="center"/>
          </w:tcPr>
          <w:p w14:paraId="17B3D896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2 (« raw payloads as evidence »)</w:t>
            </w:r>
          </w:p>
        </w:tc>
        <w:tc>
          <w:tcPr>
            <w:tcW w:w="3744" w:type="dxa"/>
            <w:vAlign w:val="center"/>
          </w:tcPr>
          <w:p w14:paraId="6988B6D3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non stockés — contracts.py:225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3CDAAFAB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</w:tbl>
    <w:p w14:paraId="78FCB710" w14:textId="77777777" w:rsidR="003B5575" w:rsidRDefault="00000000">
      <w:pPr>
        <w:pStyle w:val="Titre2"/>
      </w:pPr>
      <w:bookmarkStart w:id="28" w:name="_Toc231553431"/>
      <w:r>
        <w:rPr>
          <w:rFonts w:ascii="Calibri" w:hAnsi="Calibri"/>
          <w:color w:val="2E75B6"/>
        </w:rPr>
        <w:t>E. Pipeline &amp; données — comportements incomplets</w:t>
      </w:r>
      <w:bookmarkEnd w:id="28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160"/>
        <w:gridCol w:w="3744"/>
        <w:gridCol w:w="1296"/>
      </w:tblGrid>
      <w:tr w:rsidR="003B5575" w14:paraId="3DE25DE8" w14:textId="77777777">
        <w:trPr>
          <w:jc w:val="center"/>
        </w:trPr>
        <w:tc>
          <w:tcPr>
            <w:tcW w:w="2736" w:type="dxa"/>
            <w:shd w:val="clear" w:color="auto" w:fill="1F3864"/>
            <w:vAlign w:val="center"/>
          </w:tcPr>
          <w:p w14:paraId="1207E032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Élément manquant</w:t>
            </w:r>
          </w:p>
        </w:tc>
        <w:tc>
          <w:tcPr>
            <w:tcW w:w="2160" w:type="dxa"/>
            <w:shd w:val="clear" w:color="auto" w:fill="1F3864"/>
            <w:vAlign w:val="center"/>
          </w:tcPr>
          <w:p w14:paraId="5330898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Exigé par (roadmap)</w:t>
            </w:r>
          </w:p>
        </w:tc>
        <w:tc>
          <w:tcPr>
            <w:tcW w:w="3744" w:type="dxa"/>
            <w:shd w:val="clear" w:color="auto" w:fill="1F3864"/>
            <w:vAlign w:val="center"/>
          </w:tcPr>
          <w:p w14:paraId="0819A039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Preuve dans le code</w:t>
            </w:r>
          </w:p>
        </w:tc>
        <w:tc>
          <w:tcPr>
            <w:tcW w:w="1296" w:type="dxa"/>
            <w:shd w:val="clear" w:color="auto" w:fill="1F3864"/>
            <w:vAlign w:val="center"/>
          </w:tcPr>
          <w:p w14:paraId="5A244E72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Gravité</w:t>
            </w:r>
          </w:p>
        </w:tc>
      </w:tr>
      <w:tr w:rsidR="003B5575" w14:paraId="714BCA66" w14:textId="77777777">
        <w:trPr>
          <w:jc w:val="center"/>
        </w:trPr>
        <w:tc>
          <w:tcPr>
            <w:tcW w:w="2736" w:type="dxa"/>
            <w:vAlign w:val="center"/>
          </w:tcPr>
          <w:p w14:paraId="303955BD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Replay → partitions versionnées physiquement</w:t>
            </w:r>
          </w:p>
        </w:tc>
        <w:tc>
          <w:tcPr>
            <w:tcW w:w="2160" w:type="dxa"/>
            <w:vAlign w:val="center"/>
          </w:tcPr>
          <w:p w14:paraId="229AFFF0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13</w:t>
            </w:r>
          </w:p>
        </w:tc>
        <w:tc>
          <w:tcPr>
            <w:tcW w:w="3744" w:type="dxa"/>
            <w:vAlign w:val="center"/>
          </w:tcPr>
          <w:p w14:paraId="2F597095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réécrit le même data.parquet — jobs.py:432</w:t>
            </w:r>
          </w:p>
        </w:tc>
        <w:tc>
          <w:tcPr>
            <w:tcW w:w="1296" w:type="dxa"/>
            <w:shd w:val="clear" w:color="auto" w:fill="E65100"/>
            <w:vAlign w:val="center"/>
          </w:tcPr>
          <w:p w14:paraId="1540C82B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Partiel</w:t>
            </w:r>
          </w:p>
        </w:tc>
      </w:tr>
      <w:tr w:rsidR="003B5575" w14:paraId="035C68ED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03A08E6A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Lissage structure par terme + courbe de taux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41842697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6 (e)(f)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05C93D89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taux constant 0.053 ; maturités indépendantes</w:t>
            </w:r>
          </w:p>
        </w:tc>
        <w:tc>
          <w:tcPr>
            <w:tcW w:w="1296" w:type="dxa"/>
            <w:shd w:val="clear" w:color="auto" w:fill="E65100"/>
            <w:vAlign w:val="center"/>
          </w:tcPr>
          <w:p w14:paraId="144A599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Partiel</w:t>
            </w:r>
          </w:p>
        </w:tc>
      </w:tr>
      <w:tr w:rsidR="003B5575" w14:paraId="1BC26C78" w14:textId="77777777">
        <w:trPr>
          <w:jc w:val="center"/>
        </w:trPr>
        <w:tc>
          <w:tcPr>
            <w:tcW w:w="2736" w:type="dxa"/>
            <w:vAlign w:val="center"/>
          </w:tcPr>
          <w:p w14:paraId="0B3208DE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min_open_interest appliqué</w:t>
            </w:r>
          </w:p>
        </w:tc>
        <w:tc>
          <w:tcPr>
            <w:tcW w:w="2160" w:type="dxa"/>
            <w:vAlign w:val="center"/>
          </w:tcPr>
          <w:p w14:paraId="198AEC0A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7</w:t>
            </w:r>
          </w:p>
        </w:tc>
        <w:tc>
          <w:tcPr>
            <w:tcW w:w="3744" w:type="dxa"/>
            <w:vAlign w:val="center"/>
          </w:tcPr>
          <w:p w14:paraId="018E08BD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seuil qc.yaml jamais filtré — live.py:341</w:t>
            </w:r>
          </w:p>
        </w:tc>
        <w:tc>
          <w:tcPr>
            <w:tcW w:w="1296" w:type="dxa"/>
            <w:shd w:val="clear" w:color="auto" w:fill="E65100"/>
            <w:vAlign w:val="center"/>
          </w:tcPr>
          <w:p w14:paraId="40F1EA9D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Partiel</w:t>
            </w:r>
          </w:p>
        </w:tc>
      </w:tr>
      <w:tr w:rsidR="003B5575" w14:paraId="0E7309BC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0CC7F7F6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Rejet outliers sur IV préliminaires (stade quote)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6E804CF7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7 (d)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4B158D33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seulement dans le forward engine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14D6C5E8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  <w:tr w:rsidR="003B5575" w14:paraId="77E3C251" w14:textId="77777777">
        <w:trPr>
          <w:jc w:val="center"/>
        </w:trPr>
        <w:tc>
          <w:tcPr>
            <w:tcW w:w="2736" w:type="dxa"/>
            <w:vAlign w:val="center"/>
          </w:tcPr>
          <w:p w14:paraId="6E492A77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Carry-forward du dernier snapshot fiable</w:t>
            </w:r>
          </w:p>
        </w:tc>
        <w:tc>
          <w:tcPr>
            <w:tcW w:w="2160" w:type="dxa"/>
            <w:vAlign w:val="center"/>
          </w:tcPr>
          <w:p w14:paraId="07EF07C7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5</w:t>
            </w:r>
          </w:p>
        </w:tc>
        <w:tc>
          <w:tcPr>
            <w:tcW w:w="3744" w:type="dxa"/>
            <w:vAlign w:val="center"/>
          </w:tcPr>
          <w:p w14:paraId="780A0A2C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builder fait bid_fallback — builder.py:78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3435329F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  <w:tr w:rsidR="003B5575" w14:paraId="75B87797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77A2A558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exchange_ts renseigné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35AE0DFE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3 / data dictionary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715B87D6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toujours None — raw_writer.py:40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5F771048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  <w:tr w:rsidR="003B5575" w14:paraId="7E65C811" w14:textId="77777777">
        <w:trPr>
          <w:jc w:val="center"/>
        </w:trPr>
        <w:tc>
          <w:tcPr>
            <w:tcW w:w="2736" w:type="dxa"/>
            <w:vAlign w:val="center"/>
          </w:tcPr>
          <w:p w14:paraId="40D0C91A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Quarantaine des events malformés</w:t>
            </w:r>
          </w:p>
        </w:tc>
        <w:tc>
          <w:tcPr>
            <w:tcW w:w="2160" w:type="dxa"/>
            <w:vAlign w:val="center"/>
          </w:tcPr>
          <w:p w14:paraId="24BFBDFE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3</w:t>
            </w:r>
          </w:p>
        </w:tc>
        <w:tc>
          <w:tcPr>
            <w:tcW w:w="3744" w:type="dxa"/>
            <w:vAlign w:val="center"/>
          </w:tcPr>
          <w:p w14:paraId="6AE8810D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seulement comptés — raw_writer.py:102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74ABD05F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  <w:tr w:rsidR="003B5575" w14:paraId="407BD1CC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21B9223F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Politique de rétention + partition underlying/layer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56639E48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4 / Part XV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46BC105D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partition par date seule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37CCA251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</w:tbl>
    <w:p w14:paraId="692C46D0" w14:textId="77777777" w:rsidR="003B5575" w:rsidRDefault="00000000">
      <w:pPr>
        <w:pStyle w:val="Titre2"/>
      </w:pPr>
      <w:bookmarkStart w:id="29" w:name="_Toc231553432"/>
      <w:r>
        <w:rPr>
          <w:rFonts w:ascii="Calibri" w:hAnsi="Calibri"/>
          <w:color w:val="2E75B6"/>
        </w:rPr>
        <w:t>F. Stratégie de tests — 3 couches sur 4 absentes (Part IV.E)</w:t>
      </w:r>
      <w:bookmarkEnd w:id="29"/>
    </w:p>
    <w:p w14:paraId="62A5933F" w14:textId="77777777" w:rsidR="003B5575" w:rsidRDefault="00000000">
      <w:pPr>
        <w:spacing w:after="80"/>
      </w:pPr>
      <w:r>
        <w:rPr>
          <w:i/>
          <w:sz w:val="19"/>
        </w:rPr>
        <w:t>Seule la couche 1 (56 tests unitaires) existe.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160"/>
        <w:gridCol w:w="3744"/>
        <w:gridCol w:w="1296"/>
      </w:tblGrid>
      <w:tr w:rsidR="003B5575" w14:paraId="7A0E8298" w14:textId="77777777">
        <w:trPr>
          <w:jc w:val="center"/>
        </w:trPr>
        <w:tc>
          <w:tcPr>
            <w:tcW w:w="2736" w:type="dxa"/>
            <w:shd w:val="clear" w:color="auto" w:fill="1F3864"/>
            <w:vAlign w:val="center"/>
          </w:tcPr>
          <w:p w14:paraId="050EB121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Élément manquant</w:t>
            </w:r>
          </w:p>
        </w:tc>
        <w:tc>
          <w:tcPr>
            <w:tcW w:w="2160" w:type="dxa"/>
            <w:shd w:val="clear" w:color="auto" w:fill="1F3864"/>
            <w:vAlign w:val="center"/>
          </w:tcPr>
          <w:p w14:paraId="1FADFF47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Exigé par (roadmap)</w:t>
            </w:r>
          </w:p>
        </w:tc>
        <w:tc>
          <w:tcPr>
            <w:tcW w:w="3744" w:type="dxa"/>
            <w:shd w:val="clear" w:color="auto" w:fill="1F3864"/>
            <w:vAlign w:val="center"/>
          </w:tcPr>
          <w:p w14:paraId="71271AC9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Preuve dans le code</w:t>
            </w:r>
          </w:p>
        </w:tc>
        <w:tc>
          <w:tcPr>
            <w:tcW w:w="1296" w:type="dxa"/>
            <w:shd w:val="clear" w:color="auto" w:fill="1F3864"/>
            <w:vAlign w:val="center"/>
          </w:tcPr>
          <w:p w14:paraId="043B829D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Gravité</w:t>
            </w:r>
          </w:p>
        </w:tc>
      </w:tr>
      <w:tr w:rsidR="003B5575" w14:paraId="2009C91A" w14:textId="77777777">
        <w:trPr>
          <w:jc w:val="center"/>
        </w:trPr>
        <w:tc>
          <w:tcPr>
            <w:tcW w:w="2736" w:type="dxa"/>
            <w:vAlign w:val="center"/>
          </w:tcPr>
          <w:p w14:paraId="19B4FEF3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Tests d'intégration (adaptateur broker mocké)</w:t>
            </w:r>
          </w:p>
        </w:tc>
        <w:tc>
          <w:tcPr>
            <w:tcW w:w="2160" w:type="dxa"/>
            <w:vAlign w:val="center"/>
          </w:tcPr>
          <w:p w14:paraId="4FA58253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IV.E §2</w:t>
            </w:r>
          </w:p>
        </w:tc>
        <w:tc>
          <w:tcPr>
            <w:tcW w:w="3744" w:type="dxa"/>
            <w:vAlign w:val="center"/>
          </w:tcPr>
          <w:p w14:paraId="1B858006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aucun mock IBKR / stream enregistré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6B8D1FC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72609651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3274A4D1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Tests de régression (fixtures gelées)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3FE3AC82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IV.E §3 + Part XVI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1C5DD51D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aucune chaîne figée → forward/IV/surface attendus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56C583DD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2CD416F2" w14:textId="77777777">
        <w:trPr>
          <w:jc w:val="center"/>
        </w:trPr>
        <w:tc>
          <w:tcPr>
            <w:tcW w:w="2736" w:type="dxa"/>
            <w:vAlign w:val="center"/>
          </w:tcPr>
          <w:p w14:paraId="7E7383E1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Tests opérationnels (jobs CLI, alerte sur panne)</w:t>
            </w:r>
          </w:p>
        </w:tc>
        <w:tc>
          <w:tcPr>
            <w:tcW w:w="2160" w:type="dxa"/>
            <w:vAlign w:val="center"/>
          </w:tcPr>
          <w:p w14:paraId="309742A7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IV.E §4</w:t>
            </w:r>
          </w:p>
        </w:tc>
        <w:tc>
          <w:tcPr>
            <w:tcW w:w="3744" w:type="dxa"/>
            <w:vAlign w:val="center"/>
          </w:tcPr>
          <w:p w14:paraId="35E4DA82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aucun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279F7EE6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7829F7CF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5F811023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Bibliothèque de journées de replay (calme/stress)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755500D4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XVI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590DB75B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aucune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7E3FFF16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</w:tbl>
    <w:p w14:paraId="7D14B41C" w14:textId="77777777" w:rsidR="003B5575" w:rsidRDefault="00000000">
      <w:pPr>
        <w:pStyle w:val="Titre2"/>
      </w:pPr>
      <w:bookmarkStart w:id="30" w:name="_Toc231553433"/>
      <w:r>
        <w:rPr>
          <w:rFonts w:ascii="Calibri" w:hAnsi="Calibri"/>
          <w:color w:val="2E75B6"/>
        </w:rPr>
        <w:t>G. Industrialisation / observabilité (Step 15)</w:t>
      </w:r>
      <w:bookmarkEnd w:id="30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160"/>
        <w:gridCol w:w="3744"/>
        <w:gridCol w:w="1296"/>
      </w:tblGrid>
      <w:tr w:rsidR="003B5575" w14:paraId="7C4A0346" w14:textId="77777777">
        <w:trPr>
          <w:jc w:val="center"/>
        </w:trPr>
        <w:tc>
          <w:tcPr>
            <w:tcW w:w="2736" w:type="dxa"/>
            <w:shd w:val="clear" w:color="auto" w:fill="1F3864"/>
            <w:vAlign w:val="center"/>
          </w:tcPr>
          <w:p w14:paraId="1E4E9660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Élément manquant</w:t>
            </w:r>
          </w:p>
        </w:tc>
        <w:tc>
          <w:tcPr>
            <w:tcW w:w="2160" w:type="dxa"/>
            <w:shd w:val="clear" w:color="auto" w:fill="1F3864"/>
            <w:vAlign w:val="center"/>
          </w:tcPr>
          <w:p w14:paraId="47EBB29F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Exigé par (roadmap)</w:t>
            </w:r>
          </w:p>
        </w:tc>
        <w:tc>
          <w:tcPr>
            <w:tcW w:w="3744" w:type="dxa"/>
            <w:shd w:val="clear" w:color="auto" w:fill="1F3864"/>
            <w:vAlign w:val="center"/>
          </w:tcPr>
          <w:p w14:paraId="38305E1F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Preuve dans le code</w:t>
            </w:r>
          </w:p>
        </w:tc>
        <w:tc>
          <w:tcPr>
            <w:tcW w:w="1296" w:type="dxa"/>
            <w:shd w:val="clear" w:color="auto" w:fill="1F3864"/>
            <w:vAlign w:val="center"/>
          </w:tcPr>
          <w:p w14:paraId="3297955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Gravité</w:t>
            </w:r>
          </w:p>
        </w:tc>
      </w:tr>
      <w:tr w:rsidR="003B5575" w14:paraId="5D8FF78D" w14:textId="77777777">
        <w:trPr>
          <w:jc w:val="center"/>
        </w:trPr>
        <w:tc>
          <w:tcPr>
            <w:tcW w:w="2736" w:type="dxa"/>
            <w:vAlign w:val="center"/>
          </w:tcPr>
          <w:p w14:paraId="3E6C8340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Scheduler système (cron/systemd/Airflow)</w:t>
            </w:r>
          </w:p>
        </w:tc>
        <w:tc>
          <w:tcPr>
            <w:tcW w:w="2160" w:type="dxa"/>
            <w:vAlign w:val="center"/>
          </w:tcPr>
          <w:p w14:paraId="63F3FA9A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15 (a)</w:t>
            </w:r>
          </w:p>
        </w:tc>
        <w:tc>
          <w:tcPr>
            <w:tcW w:w="3744" w:type="dxa"/>
            <w:vAlign w:val="center"/>
          </w:tcPr>
          <w:p w14:paraId="21E1C34F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boucle in-process — run_collector.py:512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6D0E6D9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05918311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7718BC0E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Correlation IDs (sessions collecteur ↔ jobs)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0AF34B24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15 (b)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329666D7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session_id et run_id non tissés ensemble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4EF419E0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3AC7FA5E" w14:textId="77777777">
        <w:trPr>
          <w:jc w:val="center"/>
        </w:trPr>
        <w:tc>
          <w:tcPr>
            <w:tcW w:w="2736" w:type="dxa"/>
            <w:vAlign w:val="center"/>
          </w:tcPr>
          <w:p w14:paraId="3A5DCABD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Routage d'alertes externe (email/Slack)</w:t>
            </w:r>
          </w:p>
        </w:tc>
        <w:tc>
          <w:tcPr>
            <w:tcW w:w="2160" w:type="dxa"/>
            <w:vAlign w:val="center"/>
          </w:tcPr>
          <w:p w14:paraId="3B378AE7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15 (d)</w:t>
            </w:r>
          </w:p>
        </w:tc>
        <w:tc>
          <w:tcPr>
            <w:tcW w:w="3744" w:type="dxa"/>
            <w:vAlign w:val="center"/>
          </w:tcPr>
          <w:p w14:paraId="5CD89C61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alerts.json local — run_collector.py:393</w:t>
            </w:r>
          </w:p>
        </w:tc>
        <w:tc>
          <w:tcPr>
            <w:tcW w:w="1296" w:type="dxa"/>
            <w:shd w:val="clear" w:color="auto" w:fill="B71C1C"/>
            <w:vAlign w:val="center"/>
          </w:tcPr>
          <w:p w14:paraId="7CF4149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Manquant</w:t>
            </w:r>
          </w:p>
        </w:tc>
      </w:tr>
      <w:tr w:rsidR="003B5575" w14:paraId="054C4CA2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24DCC37D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Catalogue de métriques complet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444455FF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XIV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0CA3EB56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partiel (statut collecteur)</w:t>
            </w:r>
          </w:p>
        </w:tc>
        <w:tc>
          <w:tcPr>
            <w:tcW w:w="1296" w:type="dxa"/>
            <w:shd w:val="clear" w:color="auto" w:fill="E65100"/>
            <w:vAlign w:val="center"/>
          </w:tcPr>
          <w:p w14:paraId="0787F19A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Partiel</w:t>
            </w:r>
          </w:p>
        </w:tc>
      </w:tr>
      <w:tr w:rsidR="003B5575" w14:paraId="36E23EB8" w14:textId="77777777">
        <w:trPr>
          <w:jc w:val="center"/>
        </w:trPr>
        <w:tc>
          <w:tcPr>
            <w:tcW w:w="2736" w:type="dxa"/>
            <w:vAlign w:val="center"/>
          </w:tcPr>
          <w:p w14:paraId="5B24925B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SLOs formalisés</w:t>
            </w:r>
          </w:p>
        </w:tc>
        <w:tc>
          <w:tcPr>
            <w:tcW w:w="2160" w:type="dxa"/>
            <w:vAlign w:val="center"/>
          </w:tcPr>
          <w:p w14:paraId="250F8D0B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Part XIV</w:t>
            </w:r>
          </w:p>
        </w:tc>
        <w:tc>
          <w:tcPr>
            <w:tcW w:w="3744" w:type="dxa"/>
            <w:vAlign w:val="center"/>
          </w:tcPr>
          <w:p w14:paraId="60A2AC9F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sévérités S1–S4 OK, mais pas de cibles SLO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5BC5307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</w:tbl>
    <w:p w14:paraId="208CF6BB" w14:textId="77777777" w:rsidR="003B5575" w:rsidRDefault="00000000">
      <w:pPr>
        <w:pStyle w:val="Titre2"/>
      </w:pPr>
      <w:bookmarkStart w:id="31" w:name="_Toc231553434"/>
      <w:r>
        <w:rPr>
          <w:rFonts w:ascii="Calibri" w:hAnsi="Calibri"/>
          <w:color w:val="2E75B6"/>
        </w:rPr>
        <w:t>H. Points mineurs divers</w:t>
      </w:r>
      <w:bookmarkEnd w:id="31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160"/>
        <w:gridCol w:w="3744"/>
        <w:gridCol w:w="1296"/>
      </w:tblGrid>
      <w:tr w:rsidR="003B5575" w14:paraId="299541F8" w14:textId="77777777">
        <w:trPr>
          <w:jc w:val="center"/>
        </w:trPr>
        <w:tc>
          <w:tcPr>
            <w:tcW w:w="2736" w:type="dxa"/>
            <w:shd w:val="clear" w:color="auto" w:fill="1F3864"/>
            <w:vAlign w:val="center"/>
          </w:tcPr>
          <w:p w14:paraId="5AE22E43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Élément manquant</w:t>
            </w:r>
          </w:p>
        </w:tc>
        <w:tc>
          <w:tcPr>
            <w:tcW w:w="2160" w:type="dxa"/>
            <w:shd w:val="clear" w:color="auto" w:fill="1F3864"/>
            <w:vAlign w:val="center"/>
          </w:tcPr>
          <w:p w14:paraId="3215A160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Exigé par (roadmap)</w:t>
            </w:r>
          </w:p>
        </w:tc>
        <w:tc>
          <w:tcPr>
            <w:tcW w:w="3744" w:type="dxa"/>
            <w:shd w:val="clear" w:color="auto" w:fill="1F3864"/>
            <w:vAlign w:val="center"/>
          </w:tcPr>
          <w:p w14:paraId="02DC9BF9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Preuve dans le code</w:t>
            </w:r>
          </w:p>
        </w:tc>
        <w:tc>
          <w:tcPr>
            <w:tcW w:w="1296" w:type="dxa"/>
            <w:shd w:val="clear" w:color="auto" w:fill="1F3864"/>
            <w:vAlign w:val="center"/>
          </w:tcPr>
          <w:p w14:paraId="6458467E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Gravité</w:t>
            </w:r>
          </w:p>
        </w:tc>
      </w:tr>
      <w:tr w:rsidR="003B5575" w14:paraId="696DFE3A" w14:textId="77777777">
        <w:trPr>
          <w:jc w:val="center"/>
        </w:trPr>
        <w:tc>
          <w:tcPr>
            <w:tcW w:w="2736" w:type="dxa"/>
            <w:vAlign w:val="center"/>
          </w:tcPr>
          <w:p w14:paraId="5E108AAD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dash + dash-bootstrap-components dans requirements.txt</w:t>
            </w:r>
          </w:p>
        </w:tc>
        <w:tc>
          <w:tcPr>
            <w:tcW w:w="2160" w:type="dxa"/>
            <w:vAlign w:val="center"/>
          </w:tcPr>
          <w:p w14:paraId="3BA508E8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 (reproductibilité)</w:t>
            </w:r>
          </w:p>
        </w:tc>
        <w:tc>
          <w:tcPr>
            <w:tcW w:w="3744" w:type="dxa"/>
            <w:vAlign w:val="center"/>
          </w:tcPr>
          <w:p w14:paraId="45538200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absents ; environment.md:18 prétend l'inverse</w:t>
            </w:r>
          </w:p>
        </w:tc>
        <w:tc>
          <w:tcPr>
            <w:tcW w:w="1296" w:type="dxa"/>
            <w:shd w:val="clear" w:color="auto" w:fill="E65100"/>
            <w:vAlign w:val="center"/>
          </w:tcPr>
          <w:p w14:paraId="2FAF0C0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Partiel</w:t>
            </w:r>
          </w:p>
        </w:tc>
      </w:tr>
      <w:tr w:rsidR="003B5575" w14:paraId="364F982E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3BBED70E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Health checks clock-sync + entitlement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234D01B7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 (f)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5C4783D9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absents du bootstrap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3E9A08C7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  <w:tr w:rsidR="003B5575" w14:paraId="2C7F2D81" w14:textId="77777777">
        <w:trPr>
          <w:jc w:val="center"/>
        </w:trPr>
        <w:tc>
          <w:tcPr>
            <w:tcW w:w="2736" w:type="dxa"/>
            <w:vAlign w:val="center"/>
          </w:tcPr>
          <w:p w14:paraId="268DE70B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Lock file (poetry.lock / pip-tools)</w:t>
            </w:r>
          </w:p>
        </w:tc>
        <w:tc>
          <w:tcPr>
            <w:tcW w:w="2160" w:type="dxa"/>
            <w:vAlign w:val="center"/>
          </w:tcPr>
          <w:p w14:paraId="2CE54BAB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 (a)</w:t>
            </w:r>
          </w:p>
        </w:tc>
        <w:tc>
          <w:tcPr>
            <w:tcW w:w="3744" w:type="dxa"/>
            <w:vAlign w:val="center"/>
          </w:tcPr>
          <w:p w14:paraId="73949B36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versions épinglées seulement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27135A62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  <w:tr w:rsidR="003B5575" w14:paraId="7C4E5C17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260187C7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API de pricing vectorisée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23C2B5EF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10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7FCA6717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scalaire seulement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12E1D252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  <w:tr w:rsidR="003B5575" w14:paraId="417446C4" w14:textId="77777777">
        <w:trPr>
          <w:jc w:val="center"/>
        </w:trPr>
        <w:tc>
          <w:tcPr>
            <w:tcW w:w="2736" w:type="dxa"/>
            <w:vAlign w:val="center"/>
          </w:tcPr>
          <w:p w14:paraId="652FE96C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Accélérateur Newton (annoncé)</w:t>
            </w:r>
          </w:p>
        </w:tc>
        <w:tc>
          <w:tcPr>
            <w:tcW w:w="2160" w:type="dxa"/>
            <w:vAlign w:val="center"/>
          </w:tcPr>
          <w:p w14:paraId="7A1AB2DE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8</w:t>
            </w:r>
          </w:p>
        </w:tc>
        <w:tc>
          <w:tcPr>
            <w:tcW w:w="3744" w:type="dxa"/>
            <w:vAlign w:val="center"/>
          </w:tcPr>
          <w:p w14:paraId="6D4CD84B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docstring solver.py:5 ; non codé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3812B9F2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  <w:tr w:rsidR="003B5575" w14:paraId="63167CA6" w14:textId="77777777">
        <w:trPr>
          <w:jc w:val="center"/>
        </w:trPr>
        <w:tc>
          <w:tcPr>
            <w:tcW w:w="2736" w:type="dxa"/>
            <w:shd w:val="clear" w:color="auto" w:fill="EAF0F7"/>
            <w:vAlign w:val="center"/>
          </w:tcPr>
          <w:p w14:paraId="24CB9C7B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Coordonnée delta dans iv_points</w:t>
            </w:r>
          </w:p>
        </w:tc>
        <w:tc>
          <w:tcPr>
            <w:tcW w:w="2160" w:type="dxa"/>
            <w:shd w:val="clear" w:color="auto" w:fill="EAF0F7"/>
            <w:vAlign w:val="center"/>
          </w:tcPr>
          <w:p w14:paraId="323ED4E7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8</w:t>
            </w:r>
          </w:p>
        </w:tc>
        <w:tc>
          <w:tcPr>
            <w:tcW w:w="3744" w:type="dxa"/>
            <w:shd w:val="clear" w:color="auto" w:fill="EAF0F7"/>
            <w:vAlign w:val="center"/>
          </w:tcPr>
          <w:p w14:paraId="2F7A80EE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absente — solver.py:285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09B0EA3B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  <w:tr w:rsidR="003B5575" w14:paraId="3969ADE3" w14:textId="77777777">
        <w:trPr>
          <w:jc w:val="center"/>
        </w:trPr>
        <w:tc>
          <w:tcPr>
            <w:tcW w:w="2736" w:type="dxa"/>
            <w:vAlign w:val="center"/>
          </w:tcPr>
          <w:p w14:paraId="70B8D461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README par module + diagramme d'architecture</w:t>
            </w:r>
          </w:p>
        </w:tc>
        <w:tc>
          <w:tcPr>
            <w:tcW w:w="2160" w:type="dxa"/>
            <w:vAlign w:val="center"/>
          </w:tcPr>
          <w:p w14:paraId="7DB8728A" w14:textId="77777777" w:rsidR="003B5575" w:rsidRDefault="00000000">
            <w:pPr>
              <w:spacing w:before="20" w:after="20"/>
            </w:pPr>
            <w:r>
              <w:rPr>
                <w:sz w:val="16"/>
              </w:rPr>
              <w:t>Step 16</w:t>
            </w:r>
          </w:p>
        </w:tc>
        <w:tc>
          <w:tcPr>
            <w:tcW w:w="3744" w:type="dxa"/>
            <w:vAlign w:val="center"/>
          </w:tcPr>
          <w:p w14:paraId="280F0827" w14:textId="77777777" w:rsidR="003B557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absents de docs/</w:t>
            </w:r>
          </w:p>
        </w:tc>
        <w:tc>
          <w:tcPr>
            <w:tcW w:w="1296" w:type="dxa"/>
            <w:shd w:val="clear" w:color="auto" w:fill="B7950B"/>
            <w:vAlign w:val="center"/>
          </w:tcPr>
          <w:p w14:paraId="63B888EC" w14:textId="77777777" w:rsidR="003B5575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Mineur</w:t>
            </w:r>
          </w:p>
        </w:tc>
      </w:tr>
    </w:tbl>
    <w:p w14:paraId="2640A360" w14:textId="77777777" w:rsidR="003B5575" w:rsidRDefault="00000000">
      <w:r>
        <w:br w:type="page"/>
      </w:r>
    </w:p>
    <w:p w14:paraId="18C85F69" w14:textId="77777777" w:rsidR="003B5575" w:rsidRDefault="00000000">
      <w:pPr>
        <w:pStyle w:val="Titre1"/>
      </w:pPr>
      <w:bookmarkStart w:id="32" w:name="_Toc231553435"/>
      <w:r>
        <w:rPr>
          <w:rFonts w:ascii="Calibri" w:hAnsi="Calibri"/>
          <w:color w:val="1F3864"/>
        </w:rPr>
        <w:lastRenderedPageBreak/>
        <w:t>6. Backlog priorisé pour fermer l'écart</w:t>
      </w:r>
      <w:bookmarkEnd w:id="32"/>
    </w:p>
    <w:p w14:paraId="5A010833" w14:textId="77777777" w:rsidR="003B5575" w:rsidRDefault="00000000">
      <w:pPr>
        <w:pStyle w:val="Titre2"/>
      </w:pPr>
      <w:bookmarkStart w:id="33" w:name="_Toc231553436"/>
      <w:r>
        <w:rPr>
          <w:rFonts w:ascii="Calibri" w:hAnsi="Calibri"/>
          <w:color w:val="2E75B6"/>
        </w:rPr>
        <w:t>P0 — fort signal, faible coût (à exiger en premier)</w:t>
      </w:r>
      <w:bookmarkEnd w:id="33"/>
    </w:p>
    <w:p w14:paraId="74A46A2F" w14:textId="77777777" w:rsidR="003B5575" w:rsidRDefault="00000000">
      <w:pPr>
        <w:pStyle w:val="Listepuces"/>
        <w:spacing w:after="60"/>
      </w:pPr>
      <w:r>
        <w:rPr>
          <w:sz w:val="20"/>
        </w:rPr>
        <w:t>Persister surface_parameters (params SVI) — données déjà calculées, table manquante.</w:t>
      </w:r>
    </w:p>
    <w:p w14:paraId="628A8F39" w14:textId="77777777" w:rsidR="003B5575" w:rsidRDefault="00000000">
      <w:pPr>
        <w:pStyle w:val="Listepuces"/>
        <w:spacing w:after="60"/>
      </w:pPr>
      <w:r>
        <w:rPr>
          <w:sz w:val="20"/>
        </w:rPr>
        <w:t>Persister les diagnostics par candidat du forward (nouvelle table forward_candidates).</w:t>
      </w:r>
    </w:p>
    <w:p w14:paraId="78A56B2D" w14:textId="77777777" w:rsidR="003B5575" w:rsidRDefault="00000000">
      <w:pPr>
        <w:pStyle w:val="Listepuces"/>
        <w:spacing w:after="60"/>
      </w:pPr>
      <w:r>
        <w:rPr>
          <w:sz w:val="20"/>
        </w:rPr>
        <w:t>Câbler aggregate_risk() dans le pipeline et écrire de vrais agrégats groupés.</w:t>
      </w:r>
    </w:p>
    <w:p w14:paraId="7D0D85A5" w14:textId="77777777" w:rsidR="003B5575" w:rsidRDefault="00000000">
      <w:pPr>
        <w:pStyle w:val="Listepuces"/>
        <w:spacing w:after="60"/>
      </w:pPr>
      <w:r>
        <w:rPr>
          <w:sz w:val="20"/>
        </w:rPr>
        <w:t>Ajouter dash et dash-bootstrap-components à requirements.txt (corrige l'install front).</w:t>
      </w:r>
    </w:p>
    <w:p w14:paraId="0ACD0527" w14:textId="77777777" w:rsidR="003B5575" w:rsidRDefault="00000000">
      <w:pPr>
        <w:pStyle w:val="Titre2"/>
      </w:pPr>
      <w:bookmarkStart w:id="34" w:name="_Toc231553437"/>
      <w:r>
        <w:rPr>
          <w:rFonts w:ascii="Calibri" w:hAnsi="Calibri"/>
          <w:color w:val="2E75B6"/>
        </w:rPr>
        <w:t>P1 — checks &amp; réconciliations exigés explicitement</w:t>
      </w:r>
      <w:bookmarkEnd w:id="34"/>
    </w:p>
    <w:p w14:paraId="764B6688" w14:textId="77777777" w:rsidR="003B5575" w:rsidRDefault="00000000">
      <w:pPr>
        <w:pStyle w:val="Listepuces"/>
        <w:spacing w:after="60"/>
      </w:pPr>
      <w:r>
        <w:rPr>
          <w:sz w:val="20"/>
        </w:rPr>
        <w:t>Check QC finite-difference vs analytique (« Greek sanity »).</w:t>
      </w:r>
    </w:p>
    <w:p w14:paraId="45A9668B" w14:textId="77777777" w:rsidR="003B5575" w:rsidRDefault="00000000">
      <w:pPr>
        <w:pStyle w:val="Listepuces"/>
        <w:spacing w:after="60"/>
      </w:pPr>
      <w:r>
        <w:rPr>
          <w:sz w:val="20"/>
        </w:rPr>
        <w:t>Checks QC « option chain coverage » et « parity residual ».</w:t>
      </w:r>
    </w:p>
    <w:p w14:paraId="0ECFB525" w14:textId="77777777" w:rsidR="003B5575" w:rsidRDefault="00000000">
      <w:pPr>
        <w:pStyle w:val="Listepuces"/>
        <w:spacing w:after="60"/>
      </w:pPr>
      <w:r>
        <w:rPr>
          <w:sz w:val="20"/>
        </w:rPr>
        <w:t>Réconciliation Greeks broker vs plateforme (données broker déjà captées).</w:t>
      </w:r>
    </w:p>
    <w:p w14:paraId="51650D54" w14:textId="77777777" w:rsidR="003B5575" w:rsidRDefault="00000000">
      <w:pPr>
        <w:pStyle w:val="Listepuces"/>
        <w:spacing w:after="60"/>
      </w:pPr>
      <w:r>
        <w:rPr>
          <w:sz w:val="20"/>
        </w:rPr>
        <w:t>Eq.22 : fonction interpolate_across_maturities + grille (k, T) continue.</w:t>
      </w:r>
    </w:p>
    <w:p w14:paraId="2CBD34E5" w14:textId="77777777" w:rsidR="003B5575" w:rsidRDefault="00000000">
      <w:pPr>
        <w:pStyle w:val="Listepuces"/>
        <w:spacing w:after="60"/>
      </w:pPr>
      <w:r>
        <w:rPr>
          <w:sz w:val="20"/>
        </w:rPr>
        <w:t>Replay → partitions versionnées physiquement (ne pas écraser data.parquet).</w:t>
      </w:r>
    </w:p>
    <w:p w14:paraId="71A305D0" w14:textId="77777777" w:rsidR="003B5575" w:rsidRDefault="00000000">
      <w:pPr>
        <w:pStyle w:val="Titre2"/>
      </w:pPr>
      <w:bookmarkStart w:id="35" w:name="_Toc231553438"/>
      <w:r>
        <w:rPr>
          <w:rFonts w:ascii="Calibri" w:hAnsi="Calibri"/>
          <w:color w:val="2E75B6"/>
        </w:rPr>
        <w:t>P2 — industrialisation &amp; complétude</w:t>
      </w:r>
      <w:bookmarkEnd w:id="35"/>
    </w:p>
    <w:p w14:paraId="1622E77D" w14:textId="77777777" w:rsidR="003B5575" w:rsidRDefault="00000000">
      <w:pPr>
        <w:pStyle w:val="Listepuces"/>
        <w:spacing w:after="60"/>
      </w:pPr>
      <w:r>
        <w:rPr>
          <w:sz w:val="20"/>
        </w:rPr>
        <w:t>Tables pricing_results et positions ; politique de rétention.</w:t>
      </w:r>
    </w:p>
    <w:p w14:paraId="541761AD" w14:textId="77777777" w:rsidR="003B5575" w:rsidRDefault="00000000">
      <w:pPr>
        <w:pStyle w:val="Listepuces"/>
        <w:spacing w:after="60"/>
      </w:pPr>
      <w:r>
        <w:rPr>
          <w:sz w:val="20"/>
        </w:rPr>
        <w:t>Couches de tests 2–4 (intégration mockée, régression figée, opérationnels) + journées de replay.</w:t>
      </w:r>
    </w:p>
    <w:p w14:paraId="200B1DB0" w14:textId="77777777" w:rsidR="003B5575" w:rsidRDefault="00000000">
      <w:pPr>
        <w:pStyle w:val="Listepuces"/>
        <w:spacing w:after="60"/>
      </w:pPr>
      <w:r>
        <w:rPr>
          <w:sz w:val="20"/>
        </w:rPr>
        <w:t>Eq.23 (variance panier), scheduler système, correlation IDs, routage d'alertes externe.</w:t>
      </w:r>
    </w:p>
    <w:p w14:paraId="657EBBBB" w14:textId="77777777" w:rsidR="003B5575" w:rsidRDefault="00000000">
      <w:pPr>
        <w:pStyle w:val="Listepuces"/>
        <w:spacing w:after="60"/>
      </w:pPr>
      <w:r>
        <w:rPr>
          <w:sz w:val="20"/>
        </w:rPr>
        <w:t>README par module, diagramme d'architecture, schemas.md champ-par-champ.</w:t>
      </w:r>
    </w:p>
    <w:p w14:paraId="49F4EA1F" w14:textId="77777777" w:rsidR="003B5575" w:rsidRDefault="003B5575">
      <w:pPr>
        <w:spacing w:after="120"/>
      </w:pPr>
    </w:p>
    <w:p w14:paraId="53C68466" w14:textId="77777777" w:rsidR="003B5575" w:rsidRDefault="00000000">
      <w:pPr>
        <w:spacing w:after="120"/>
      </w:pPr>
      <w:r>
        <w:t>Conclusion. Le projet est quantitativement sérieux et bien architecturé ; l'écart résiduel est essentiellement de la PERSISTANCE (3 tables + diagnostics), des RÉCONCILIATIONS (broker, finite-difference) et de l'INDUSTRIALISATION (tests, scheduler, observabilité). Les quatre items P0 sont à la fois peu coûteux et directement vérifiables par un correcteur.</w:t>
      </w:r>
    </w:p>
    <w:sectPr w:rsidR="003B5575" w:rsidSect="00034616">
      <w:footerReference w:type="default" r:id="rId8"/>
      <w:pgSz w:w="11906" w:h="16838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51B9C" w14:textId="77777777" w:rsidR="009C2AC9" w:rsidRDefault="009C2AC9">
      <w:pPr>
        <w:spacing w:after="0" w:line="240" w:lineRule="auto"/>
      </w:pPr>
      <w:r>
        <w:separator/>
      </w:r>
    </w:p>
  </w:endnote>
  <w:endnote w:type="continuationSeparator" w:id="0">
    <w:p w14:paraId="52F734A4" w14:textId="77777777" w:rsidR="009C2AC9" w:rsidRDefault="009C2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4132" w14:textId="146EC2D1" w:rsidR="003B5575" w:rsidRDefault="00000000">
    <w:pPr>
      <w:pStyle w:val="Pieddepage"/>
      <w:jc w:val="center"/>
    </w:pPr>
    <w:r>
      <w:rPr>
        <w:color w:val="888888"/>
        <w:sz w:val="16"/>
      </w:rPr>
      <w:t xml:space="preserve">Audit de </w:t>
    </w:r>
    <w:proofErr w:type="spellStart"/>
    <w:r>
      <w:rPr>
        <w:color w:val="888888"/>
        <w:sz w:val="16"/>
      </w:rPr>
      <w:t>conformité</w:t>
    </w:r>
    <w:proofErr w:type="spellEnd"/>
    <w:r>
      <w:rPr>
        <w:color w:val="888888"/>
        <w:sz w:val="16"/>
      </w:rPr>
      <w:t xml:space="preserve"> — Vol Risk Infrastructure   ·   Page </w:t>
    </w:r>
    <w:r>
      <w:rPr>
        <w:sz w:val="16"/>
      </w:rPr>
      <w:fldChar w:fldCharType="begin"/>
    </w:r>
    <w:r>
      <w:rPr>
        <w:sz w:val="16"/>
      </w:rPr>
      <w:instrText>PAGE</w:instrText>
    </w:r>
    <w:r w:rsidR="00E75897">
      <w:rPr>
        <w:sz w:val="16"/>
      </w:rPr>
      <w:fldChar w:fldCharType="separate"/>
    </w:r>
    <w:r w:rsidR="00E75897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0456A" w14:textId="77777777" w:rsidR="009C2AC9" w:rsidRDefault="009C2AC9">
      <w:pPr>
        <w:spacing w:after="0" w:line="240" w:lineRule="auto"/>
      </w:pPr>
      <w:r>
        <w:separator/>
      </w:r>
    </w:p>
  </w:footnote>
  <w:footnote w:type="continuationSeparator" w:id="0">
    <w:p w14:paraId="0A9AE662" w14:textId="77777777" w:rsidR="009C2AC9" w:rsidRDefault="009C2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088298">
    <w:abstractNumId w:val="8"/>
  </w:num>
  <w:num w:numId="2" w16cid:durableId="477958820">
    <w:abstractNumId w:val="6"/>
  </w:num>
  <w:num w:numId="3" w16cid:durableId="1074933360">
    <w:abstractNumId w:val="5"/>
  </w:num>
  <w:num w:numId="4" w16cid:durableId="1150751818">
    <w:abstractNumId w:val="4"/>
  </w:num>
  <w:num w:numId="5" w16cid:durableId="570651315">
    <w:abstractNumId w:val="7"/>
  </w:num>
  <w:num w:numId="6" w16cid:durableId="2146510779">
    <w:abstractNumId w:val="3"/>
  </w:num>
  <w:num w:numId="7" w16cid:durableId="470178229">
    <w:abstractNumId w:val="2"/>
  </w:num>
  <w:num w:numId="8" w16cid:durableId="1561404574">
    <w:abstractNumId w:val="1"/>
  </w:num>
  <w:num w:numId="9" w16cid:durableId="19975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EB9"/>
    <w:rsid w:val="0029639D"/>
    <w:rsid w:val="00326F90"/>
    <w:rsid w:val="003B5575"/>
    <w:rsid w:val="009C2AC9"/>
    <w:rsid w:val="00AA1D8D"/>
    <w:rsid w:val="00B47730"/>
    <w:rsid w:val="00CB0664"/>
    <w:rsid w:val="00E758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91B49A5-B446-45C8-BD9A-698EBF53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E7589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75897"/>
    <w:pPr>
      <w:spacing w:after="100"/>
      <w:ind w:left="210"/>
    </w:pPr>
  </w:style>
  <w:style w:type="character" w:styleId="Lienhypertexte">
    <w:name w:val="Hyperlink"/>
    <w:basedOn w:val="Policepardfaut"/>
    <w:uiPriority w:val="99"/>
    <w:unhideWhenUsed/>
    <w:rsid w:val="00E75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4607</Words>
  <Characters>25340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Caillaud</cp:lastModifiedBy>
  <cp:revision>2</cp:revision>
  <dcterms:created xsi:type="dcterms:W3CDTF">2013-12-23T23:15:00Z</dcterms:created>
  <dcterms:modified xsi:type="dcterms:W3CDTF">2026-06-05T10:04:00Z</dcterms:modified>
  <cp:category/>
</cp:coreProperties>
</file>