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6E16" w14:textId="77777777" w:rsidR="002B6BBC" w:rsidRDefault="002B6BBC">
      <w:pPr>
        <w:spacing w:after="1200"/>
      </w:pPr>
    </w:p>
    <w:p w14:paraId="55A91649" w14:textId="77777777" w:rsidR="002B6BBC" w:rsidRDefault="00000000">
      <w:pPr>
        <w:spacing w:after="120"/>
        <w:jc w:val="center"/>
      </w:pPr>
      <w:r>
        <w:rPr>
          <w:b/>
          <w:color w:val="1A3A5C"/>
          <w:sz w:val="48"/>
        </w:rPr>
        <w:t>Infrastructure de risque de volatilité</w:t>
      </w:r>
    </w:p>
    <w:p w14:paraId="52C8D59F" w14:textId="77777777" w:rsidR="002B6BBC" w:rsidRDefault="00000000">
      <w:pPr>
        <w:spacing w:after="280"/>
        <w:jc w:val="center"/>
      </w:pPr>
      <w:r>
        <w:rPr>
          <w:color w:val="2C5577"/>
          <w:sz w:val="30"/>
        </w:rPr>
        <w:t>EURO STOXX 50 — indice et 50 composantes</w:t>
      </w:r>
    </w:p>
    <w:p w14:paraId="7DB80C33" w14:textId="77777777" w:rsidR="002B6BBC" w:rsidRDefault="00000000">
      <w:pPr>
        <w:spacing w:after="480"/>
        <w:jc w:val="center"/>
      </w:pPr>
      <w:r>
        <w:rPr>
          <w:i/>
          <w:color w:val="6A737D"/>
          <w:sz w:val="24"/>
        </w:rPr>
        <w:t>Synthèse de l'outil — lecture ~10 minutes</w:t>
      </w:r>
    </w:p>
    <w:p w14:paraId="18B8FFC2" w14:textId="77777777" w:rsidR="002B6BBC" w:rsidRDefault="00000000">
      <w:pPr>
        <w:jc w:val="center"/>
      </w:pPr>
      <w:r>
        <w:t>Projet M1 Trading Algorithmique · 11 juin 2026</w:t>
      </w:r>
    </w:p>
    <w:tbl>
      <w:tblPr>
        <w:tblStyle w:val="Grilledutableau"/>
        <w:tblW w:w="0" w:type="auto"/>
        <w:jc w:val="center"/>
        <w:tblLook w:val="04A0" w:firstRow="1" w:lastRow="0" w:firstColumn="1" w:lastColumn="0" w:noHBand="0" w:noVBand="1"/>
      </w:tblPr>
      <w:tblGrid>
        <w:gridCol w:w="2448"/>
        <w:gridCol w:w="2448"/>
        <w:gridCol w:w="2448"/>
        <w:gridCol w:w="2448"/>
      </w:tblGrid>
      <w:tr w:rsidR="002B6BBC" w14:paraId="77581EF3" w14:textId="77777777">
        <w:trPr>
          <w:jc w:val="center"/>
        </w:trPr>
        <w:tc>
          <w:tcPr>
            <w:tcW w:w="2448" w:type="dxa"/>
            <w:shd w:val="clear" w:color="auto" w:fill="DBE7F0"/>
          </w:tcPr>
          <w:p w14:paraId="0C387971" w14:textId="77777777" w:rsidR="002B6BBC" w:rsidRDefault="002B6BBC"/>
        </w:tc>
        <w:tc>
          <w:tcPr>
            <w:tcW w:w="2448" w:type="dxa"/>
            <w:shd w:val="clear" w:color="auto" w:fill="DBE7F0"/>
          </w:tcPr>
          <w:p w14:paraId="6D978DDC" w14:textId="77777777" w:rsidR="002B6BBC" w:rsidRDefault="002B6BBC"/>
        </w:tc>
        <w:tc>
          <w:tcPr>
            <w:tcW w:w="2448" w:type="dxa"/>
            <w:shd w:val="clear" w:color="auto" w:fill="DBE7F0"/>
          </w:tcPr>
          <w:p w14:paraId="6A2A1865" w14:textId="77777777" w:rsidR="002B6BBC" w:rsidRDefault="002B6BBC"/>
        </w:tc>
        <w:tc>
          <w:tcPr>
            <w:tcW w:w="2448" w:type="dxa"/>
            <w:shd w:val="clear" w:color="auto" w:fill="DBE7F0"/>
          </w:tcPr>
          <w:p w14:paraId="6BF6D50C" w14:textId="77777777" w:rsidR="002B6BBC" w:rsidRDefault="002B6BBC"/>
        </w:tc>
      </w:tr>
      <w:tr w:rsidR="002B6BBC" w14:paraId="00C0FC82" w14:textId="77777777">
        <w:trPr>
          <w:jc w:val="center"/>
        </w:trPr>
        <w:tc>
          <w:tcPr>
            <w:tcW w:w="2448" w:type="dxa"/>
          </w:tcPr>
          <w:p w14:paraId="0AA83835" w14:textId="77777777" w:rsidR="002B6BBC" w:rsidRDefault="00000000">
            <w:r>
              <w:rPr>
                <w:sz w:val="18"/>
              </w:rPr>
              <w:t>16/16 étapes de la roadmap</w:t>
            </w:r>
            <w:r>
              <w:rPr>
                <w:sz w:val="18"/>
              </w:rPr>
              <w:br/>
              <w:t>(audit V6 : 14 Conforme, 2 Conforme−)</w:t>
            </w:r>
          </w:p>
        </w:tc>
        <w:tc>
          <w:tcPr>
            <w:tcW w:w="2448" w:type="dxa"/>
          </w:tcPr>
          <w:p w14:paraId="7280FA54" w14:textId="77777777" w:rsidR="002B6BBC" w:rsidRDefault="00000000">
            <w:r>
              <w:rPr>
                <w:sz w:val="18"/>
              </w:rPr>
              <w:t>25/25 équations</w:t>
            </w:r>
            <w:r>
              <w:rPr>
                <w:sz w:val="18"/>
              </w:rPr>
              <w:br/>
              <w:t>implémentées et testées</w:t>
            </w:r>
          </w:p>
        </w:tc>
        <w:tc>
          <w:tcPr>
            <w:tcW w:w="2448" w:type="dxa"/>
          </w:tcPr>
          <w:p w14:paraId="591067BE" w14:textId="77777777" w:rsidR="002B6BBC" w:rsidRDefault="00000000">
            <w:r>
              <w:rPr>
                <w:sz w:val="18"/>
              </w:rPr>
              <w:t>50/51 sous-jacents collectés</w:t>
            </w:r>
            <w:r>
              <w:rPr>
                <w:sz w:val="18"/>
              </w:rPr>
              <w:br/>
              <w:t>95,9 % de quotes exploitables</w:t>
            </w:r>
          </w:p>
        </w:tc>
        <w:tc>
          <w:tcPr>
            <w:tcW w:w="2448" w:type="dxa"/>
          </w:tcPr>
          <w:p w14:paraId="6568CE58" w14:textId="77777777" w:rsidR="002B6BBC" w:rsidRDefault="00000000">
            <w:r>
              <w:rPr>
                <w:sz w:val="18"/>
              </w:rPr>
              <w:t>110 tests automatisés</w:t>
            </w:r>
            <w:r>
              <w:rPr>
                <w:sz w:val="18"/>
              </w:rPr>
              <w:br/>
              <w:t>6 audits de conformité</w:t>
            </w:r>
          </w:p>
        </w:tc>
      </w:tr>
    </w:tbl>
    <w:p w14:paraId="06A3C858" w14:textId="77777777" w:rsidR="002B6BBC" w:rsidRDefault="00000000">
      <w:r>
        <w:br w:type="page"/>
      </w:r>
    </w:p>
    <w:p w14:paraId="54498587" w14:textId="77777777" w:rsidR="002B6BBC" w:rsidRDefault="00000000">
      <w:pPr>
        <w:pStyle w:val="Titre1"/>
      </w:pPr>
      <w:r>
        <w:rPr>
          <w:color w:val="1A3A5C"/>
        </w:rPr>
        <w:lastRenderedPageBreak/>
        <w:t>1. L'outil en une page</w:t>
      </w:r>
    </w:p>
    <w:p w14:paraId="23945BCD" w14:textId="77777777" w:rsidR="002B6BBC" w:rsidRDefault="00000000">
      <w:pPr>
        <w:spacing w:after="120"/>
      </w:pPr>
      <w:r>
        <w:rPr>
          <w:sz w:val="21"/>
        </w:rPr>
        <w:t>Une infrastructure institutionnelle de mesure du risque de volatilité sur l'EURO STOXX 50 : chaque cycle (~30 min), elle collecte ~2 700 options EUREX sur l'indice et ses 50 composantes via l'API Web d'Interactive Brokers, reconstruit les forwards par parité put-call, inverse les volatilités implicites (Black-76 pour l'indice européen, arbre CRR pour les actions américaines), calibre des surfaces SVI sans arbitrage, produit les greeks bruts et monétisés en euros, exécute 10 contrôles qualité nommés, et persiste le tout en Parquet versionné avec une traçabilité complète.</w:t>
      </w:r>
    </w:p>
    <w:p w14:paraId="0D929434" w14:textId="77777777" w:rsidR="002B6BBC" w:rsidRDefault="00000000">
      <w:pPr>
        <w:spacing w:after="120"/>
      </w:pPr>
      <w:r>
        <w:rPr>
          <w:b/>
          <w:sz w:val="20"/>
        </w:rPr>
        <w:t>Trois commandes suffisent :</w:t>
      </w:r>
    </w:p>
    <w:p w14:paraId="4B4C425E" w14:textId="77777777" w:rsidR="002B6BBC" w:rsidRDefault="00000000">
      <w:pPr>
        <w:spacing w:after="120"/>
      </w:pPr>
      <w:r>
        <w:rPr>
          <w:sz w:val="19"/>
        </w:rPr>
        <w:t xml:space="preserve">    1. Gateway IBKR (login navigateur, 1×/session) — https://localhost:5000</w:t>
      </w:r>
      <w:r>
        <w:rPr>
          <w:sz w:val="19"/>
        </w:rPr>
        <w:br/>
        <w:t xml:space="preserve">    2. python run_collector.py        (le collecteur possède la session)</w:t>
      </w:r>
      <w:r>
        <w:rPr>
          <w:sz w:val="19"/>
        </w:rPr>
        <w:br/>
        <w:t xml:space="preserve">    3. python app.py                  (le dashboard lit le store) → localhost:8050</w:t>
      </w:r>
    </w:p>
    <w:p w14:paraId="479AE1D2" w14:textId="77777777" w:rsidR="002B6BBC" w:rsidRDefault="00000000">
      <w:pPr>
        <w:spacing w:after="120"/>
      </w:pPr>
      <w:r>
        <w:rPr>
          <w:sz w:val="21"/>
        </w:rPr>
        <w:t>Principe fondateur (process isolation) : le dashboard ne parle JAMAIS au broker — il lit un store alimenté par le collecteur. Une panne d'UI n'affecte pas la collecte ; une coupure broker n'éteint pas le dashboard. Les données brutes sont immuables et toutes les analytics sont recalculables depuis celles-ci (replay par le même code).</w:t>
      </w:r>
    </w:p>
    <w:p w14:paraId="1BD60EAE" w14:textId="77777777" w:rsidR="002B6BBC" w:rsidRDefault="00000000">
      <w:pPr>
        <w:pStyle w:val="Titre1"/>
      </w:pPr>
      <w:r>
        <w:rPr>
          <w:color w:val="1A3A5C"/>
        </w:rPr>
        <w:t>2. Les subtilités à connaître (ce qui ne se voit pas au premier regard)</w:t>
      </w:r>
    </w:p>
    <w:p w14:paraId="7DFDF76F" w14:textId="77777777" w:rsidR="002B6BBC" w:rsidRDefault="00000000">
      <w:pPr>
        <w:pStyle w:val="Listepuces"/>
        <w:spacing w:after="40"/>
      </w:pPr>
      <w:r>
        <w:rPr>
          <w:b/>
          <w:sz w:val="19"/>
        </w:rPr>
        <w:t xml:space="preserve">Résolution des contrats — </w:t>
      </w:r>
      <w:r>
        <w:rPr>
          <w:sz w:val="19"/>
        </w:rPr>
        <w:t>l'univers est figé en config avec gestion des pièges réels : Sanofi se résout par le ticker IBKR « SAN1 » (« SAN » seul renvoie l'ADR Santander NYSE), Nordea par « NDA FI », et trois composantes ont leurs options hors EUREX (BBVA/IBE sur MEFF, Argenx sur BELFOX) — champ option_exchange par valeur.</w:t>
      </w:r>
    </w:p>
    <w:p w14:paraId="130A4F71" w14:textId="77777777" w:rsidR="002B6BBC" w:rsidRDefault="00000000">
      <w:pPr>
        <w:pStyle w:val="Listepuces"/>
        <w:spacing w:after="40"/>
      </w:pPr>
      <w:r>
        <w:rPr>
          <w:b/>
          <w:sz w:val="19"/>
        </w:rPr>
        <w:t xml:space="preserve">Grille de collecte — </w:t>
      </w:r>
      <w:r>
        <w:rPr>
          <w:sz w:val="19"/>
        </w:rPr>
        <w:t>sélection par DELTA (ATM ± 10Δ/30Δ par aile, call et put), pas par comptage de strikes ; 7 maturités cibles (1m → 24m) mappées sur les échéances listées les plus proches, l'écart étant stocké. Ce qui n'existe pas est flagué « indisponible », jamais inventé.</w:t>
      </w:r>
    </w:p>
    <w:p w14:paraId="0D966E1B" w14:textId="77777777" w:rsidR="002B6BBC" w:rsidRDefault="00000000">
      <w:pPr>
        <w:pStyle w:val="Listepuces"/>
        <w:spacing w:after="40"/>
      </w:pPr>
      <w:r>
        <w:rPr>
          <w:b/>
          <w:sz w:val="19"/>
        </w:rPr>
        <w:t xml:space="preserve">Cohérence forward→IV→prix — </w:t>
      </w:r>
      <w:r>
        <w:rPr>
          <w:sz w:val="19"/>
        </w:rPr>
        <w:t>le forward de chaque maturité est extrait de la parité put-call (un candidat par strike, rejet des outliers par z-score MAD, score de confiance), et c'est CE forward qui alimente l'inversion d'IV, les greeks et le pricing — cohérence interne vérifiée par une table de round-trip (re-pricing à l'IV résolue : erreur médiane 4,5×10⁻⁵ sur l'indice).</w:t>
      </w:r>
    </w:p>
    <w:p w14:paraId="5F0AC34B" w14:textId="77777777" w:rsidR="002B6BBC" w:rsidRDefault="00000000">
      <w:pPr>
        <w:pStyle w:val="Listepuces"/>
        <w:spacing w:after="40"/>
      </w:pPr>
      <w:r>
        <w:rPr>
          <w:b/>
          <w:sz w:val="19"/>
        </w:rPr>
        <w:t xml:space="preserve">Greeks doublement réconciliés — </w:t>
      </w:r>
      <w:r>
        <w:rPr>
          <w:sz w:val="19"/>
        </w:rPr>
        <w:t>les greeks sont RECALCULÉS par la plateforme depuis l'IV résolue (jamais ceux du broker en source de vérité), puis réconciliés deux fois : contre des différences finies (écart delta médian 0,001) ET contre les greeks publiés par IBKR (50 pass / 1 skip, écart médian 0,007). Les versions monétisées € utilisent le multiplicateur réel (10 indice, 100 actions).</w:t>
      </w:r>
    </w:p>
    <w:p w14:paraId="3AF30B02" w14:textId="77777777" w:rsidR="002B6BBC" w:rsidRDefault="00000000">
      <w:pPr>
        <w:pStyle w:val="Listepuces"/>
        <w:spacing w:after="40"/>
      </w:pPr>
      <w:r>
        <w:rPr>
          <w:b/>
          <w:sz w:val="19"/>
        </w:rPr>
        <w:t xml:space="preserve">Validation comme un produit — </w:t>
      </w:r>
      <w:r>
        <w:rPr>
          <w:sz w:val="19"/>
        </w:rPr>
        <w:t>10 checks nommés à seuils versionnés (convergence IV, santé des quotes, couverture de chaîne, résidu de parité — tolérance ×3 pour les américaines —, stabilité du forward, bornes du carry, fit de surface, no-arbitrage calendaire et papillon, réconciliations), baselines historiques + détection d'anomalies (z-score MAD), triage, et escalade S1-S4 codée (niveau, responsable, SLA, échéance sur chaque alerte).</w:t>
      </w:r>
    </w:p>
    <w:p w14:paraId="18FA21BF" w14:textId="77777777" w:rsidR="002B6BBC" w:rsidRDefault="00000000">
      <w:pPr>
        <w:pStyle w:val="Listepuces"/>
        <w:spacing w:after="40"/>
      </w:pPr>
      <w:r>
        <w:rPr>
          <w:b/>
          <w:sz w:val="19"/>
        </w:rPr>
        <w:t xml:space="preserve">Traçabilité totale — </w:t>
      </w:r>
      <w:r>
        <w:rPr>
          <w:sz w:val="19"/>
        </w:rPr>
        <w:t>chaque écriture conserve une copie versionnée par run (versions/&lt;run_id&gt;.parquet) ; lineage code_version + config_hash + run_id sur chaque ligne ; les réponses brutes du broker sont archivées comme évidence (~9 Mo/jour de JSONL).</w:t>
      </w:r>
    </w:p>
    <w:p w14:paraId="4EED63F1" w14:textId="77777777" w:rsidR="002B6BBC" w:rsidRDefault="00000000">
      <w:pPr>
        <w:pStyle w:val="Listepuces"/>
        <w:spacing w:after="40"/>
      </w:pPr>
      <w:r>
        <w:rPr>
          <w:b/>
          <w:sz w:val="19"/>
        </w:rPr>
        <w:t xml:space="preserve">Robustesse opérationnelle — </w:t>
      </w:r>
      <w:r>
        <w:rPr>
          <w:sz w:val="19"/>
        </w:rPr>
        <w:t>limites réelles d'IBKR apprises et gérées en conditions réelles : ~100 lignes de market data simultanées (purge des souscriptions avant chaque symbole), warm-up du flux différé 3× plus lent à l'ouverture (adaptatif), 429 sur les endpoints secdef (throttle + retry + caches).</w:t>
      </w:r>
    </w:p>
    <w:p w14:paraId="0420004D" w14:textId="77777777" w:rsidR="002B6BBC" w:rsidRDefault="00000000">
      <w:r>
        <w:br w:type="page"/>
      </w:r>
    </w:p>
    <w:p w14:paraId="5AB84517" w14:textId="77777777" w:rsidR="002B6BBC" w:rsidRDefault="00000000">
      <w:pPr>
        <w:pStyle w:val="Titre1"/>
      </w:pPr>
      <w:r>
        <w:rPr>
          <w:color w:val="1A3A5C"/>
        </w:rPr>
        <w:lastRenderedPageBreak/>
        <w:t>3. Le dashboard (15 pages, thème clair desk)</w:t>
      </w:r>
    </w:p>
    <w:tbl>
      <w:tblPr>
        <w:tblStyle w:val="Grilledutableau"/>
        <w:tblW w:w="0" w:type="auto"/>
        <w:jc w:val="center"/>
        <w:tblLook w:val="04A0" w:firstRow="1" w:lastRow="0" w:firstColumn="1" w:lastColumn="0" w:noHBand="0" w:noVBand="1"/>
      </w:tblPr>
      <w:tblGrid>
        <w:gridCol w:w="2448"/>
        <w:gridCol w:w="7488"/>
      </w:tblGrid>
      <w:tr w:rsidR="002B6BBC" w14:paraId="65F93B87" w14:textId="77777777">
        <w:trPr>
          <w:jc w:val="center"/>
        </w:trPr>
        <w:tc>
          <w:tcPr>
            <w:tcW w:w="2448" w:type="dxa"/>
            <w:shd w:val="clear" w:color="auto" w:fill="DBE7F0"/>
          </w:tcPr>
          <w:p w14:paraId="6A3F6941" w14:textId="77777777" w:rsidR="002B6BBC" w:rsidRDefault="00000000">
            <w:r>
              <w:rPr>
                <w:b/>
                <w:sz w:val="18"/>
              </w:rPr>
              <w:t>Page</w:t>
            </w:r>
          </w:p>
        </w:tc>
        <w:tc>
          <w:tcPr>
            <w:tcW w:w="7488" w:type="dxa"/>
            <w:shd w:val="clear" w:color="auto" w:fill="DBE7F0"/>
          </w:tcPr>
          <w:p w14:paraId="1DB5E404" w14:textId="77777777" w:rsidR="002B6BBC" w:rsidRDefault="00000000">
            <w:r>
              <w:rPr>
                <w:b/>
                <w:sz w:val="18"/>
              </w:rPr>
              <w:t>À voir</w:t>
            </w:r>
          </w:p>
        </w:tc>
      </w:tr>
      <w:tr w:rsidR="002B6BBC" w14:paraId="54C2083B" w14:textId="77777777">
        <w:trPr>
          <w:jc w:val="center"/>
        </w:trPr>
        <w:tc>
          <w:tcPr>
            <w:tcW w:w="2448" w:type="dxa"/>
          </w:tcPr>
          <w:p w14:paraId="256D8E39" w14:textId="77777777" w:rsidR="002B6BBC" w:rsidRDefault="00000000">
            <w:r>
              <w:rPr>
                <w:sz w:val="18"/>
              </w:rPr>
              <w:t>Market Monitor (accueil)</w:t>
            </w:r>
          </w:p>
        </w:tc>
        <w:tc>
          <w:tcPr>
            <w:tcW w:w="7488" w:type="dxa"/>
          </w:tcPr>
          <w:p w14:paraId="76F5F4EC" w14:textId="77777777" w:rsidR="002B6BBC" w:rsidRDefault="00000000">
            <w:r>
              <w:rPr>
                <w:sz w:val="18"/>
              </w:rPr>
              <w:t>Cross-section des 51 : matrice de vol ATM 51×7 cliquable, niveau vs pente de term structure, moniteur de dispersion, table de l'univers</w:t>
            </w:r>
          </w:p>
        </w:tc>
      </w:tr>
      <w:tr w:rsidR="002B6BBC" w14:paraId="6B9B8035" w14:textId="77777777">
        <w:trPr>
          <w:jc w:val="center"/>
        </w:trPr>
        <w:tc>
          <w:tcPr>
            <w:tcW w:w="2448" w:type="dxa"/>
          </w:tcPr>
          <w:p w14:paraId="32C29B12" w14:textId="77777777" w:rsidR="002B6BBC" w:rsidRDefault="00000000">
            <w:r>
              <w:rPr>
                <w:sz w:val="18"/>
              </w:rPr>
              <w:t>Forward &amp; Carry</w:t>
            </w:r>
          </w:p>
        </w:tc>
        <w:tc>
          <w:tcPr>
            <w:tcW w:w="7488" w:type="dxa"/>
          </w:tcPr>
          <w:p w14:paraId="6EC3E0FF" w14:textId="77777777" w:rsidR="002B6BBC" w:rsidRDefault="00000000">
            <w:r>
              <w:rPr>
                <w:sz w:val="18"/>
              </w:rPr>
              <w:t>Courbe F(T) + confiance + carry q(T) en % et en € + candidats rejetés</w:t>
            </w:r>
          </w:p>
        </w:tc>
      </w:tr>
      <w:tr w:rsidR="002B6BBC" w14:paraId="6F86D253" w14:textId="77777777">
        <w:trPr>
          <w:jc w:val="center"/>
        </w:trPr>
        <w:tc>
          <w:tcPr>
            <w:tcW w:w="2448" w:type="dxa"/>
          </w:tcPr>
          <w:p w14:paraId="47926EE9" w14:textId="77777777" w:rsidR="002B6BBC" w:rsidRDefault="00000000">
            <w:r>
              <w:rPr>
                <w:sz w:val="18"/>
              </w:rPr>
              <w:t>Volatilité Implicite</w:t>
            </w:r>
          </w:p>
        </w:tc>
        <w:tc>
          <w:tcPr>
            <w:tcW w:w="7488" w:type="dxa"/>
          </w:tcPr>
          <w:p w14:paraId="57B5ABA6" w14:textId="77777777" w:rsidR="002B6BBC" w:rsidRDefault="00000000">
            <w:r>
              <w:rPr>
                <w:sz w:val="18"/>
              </w:rPr>
              <w:t>Smiles superposés toutes maturités, term structure ATM, skew RR30/BF30, diagnostics du solveur</w:t>
            </w:r>
          </w:p>
        </w:tc>
      </w:tr>
      <w:tr w:rsidR="002B6BBC" w14:paraId="66D5BEBD" w14:textId="77777777">
        <w:trPr>
          <w:jc w:val="center"/>
        </w:trPr>
        <w:tc>
          <w:tcPr>
            <w:tcW w:w="2448" w:type="dxa"/>
          </w:tcPr>
          <w:p w14:paraId="223F9DE2" w14:textId="77777777" w:rsidR="002B6BBC" w:rsidRDefault="00000000">
            <w:r>
              <w:rPr>
                <w:sz w:val="18"/>
              </w:rPr>
              <w:t>Surface de Vol</w:t>
            </w:r>
          </w:p>
        </w:tc>
        <w:tc>
          <w:tcPr>
            <w:tcW w:w="7488" w:type="dxa"/>
          </w:tcPr>
          <w:p w14:paraId="7D98B7F2" w14:textId="77777777" w:rsidR="002B6BBC" w:rsidRDefault="00000000">
            <w:r>
              <w:rPr>
                <w:sz w:val="18"/>
              </w:rPr>
              <w:t>Nappe SVI 3D + heatmap, term structure des paramètres (a,b,ρ,m,σ), vérification visuelle du no-arbitrage calendaire</w:t>
            </w:r>
          </w:p>
        </w:tc>
      </w:tr>
      <w:tr w:rsidR="002B6BBC" w14:paraId="0F72A9F5" w14:textId="77777777">
        <w:trPr>
          <w:jc w:val="center"/>
        </w:trPr>
        <w:tc>
          <w:tcPr>
            <w:tcW w:w="2448" w:type="dxa"/>
          </w:tcPr>
          <w:p w14:paraId="3103545E" w14:textId="77777777" w:rsidR="002B6BBC" w:rsidRDefault="00000000">
            <w:r>
              <w:rPr>
                <w:sz w:val="18"/>
              </w:rPr>
              <w:t>Greeks &amp; Risk</w:t>
            </w:r>
          </w:p>
        </w:tc>
        <w:tc>
          <w:tcPr>
            <w:tcW w:w="7488" w:type="dxa"/>
          </w:tcPr>
          <w:p w14:paraId="67C86FB7" w14:textId="77777777" w:rsidR="002B6BBC" w:rsidRDefault="00000000">
            <w:r>
              <w:rPr>
                <w:sz w:val="18"/>
              </w:rPr>
              <w:t>La sortie exigée par la spec : grille greeks bruts ET € par maturité×strike×call/put, lecture desk (+1 % spot), simulateur de choc interactif (Eq.19)</w:t>
            </w:r>
          </w:p>
        </w:tc>
      </w:tr>
      <w:tr w:rsidR="002B6BBC" w14:paraId="3DF5D737" w14:textId="77777777">
        <w:trPr>
          <w:jc w:val="center"/>
        </w:trPr>
        <w:tc>
          <w:tcPr>
            <w:tcW w:w="2448" w:type="dxa"/>
          </w:tcPr>
          <w:p w14:paraId="3CEED3C0" w14:textId="77777777" w:rsidR="002B6BBC" w:rsidRDefault="00000000">
            <w:r>
              <w:rPr>
                <w:sz w:val="18"/>
              </w:rPr>
              <w:t>QC &amp; Validation</w:t>
            </w:r>
          </w:p>
        </w:tc>
        <w:tc>
          <w:tcPr>
            <w:tcW w:w="7488" w:type="dxa"/>
          </w:tcPr>
          <w:p w14:paraId="313E4BFC" w14:textId="77777777" w:rsidR="002B6BBC" w:rsidRDefault="00000000">
            <w:r>
              <w:rPr>
                <w:sz w:val="18"/>
              </w:rPr>
              <w:t>Jauge, checks individuels, réconciliations diff-finies et broker, triage</w:t>
            </w:r>
          </w:p>
        </w:tc>
      </w:tr>
      <w:tr w:rsidR="002B6BBC" w14:paraId="062F438C" w14:textId="77777777">
        <w:trPr>
          <w:jc w:val="center"/>
        </w:trPr>
        <w:tc>
          <w:tcPr>
            <w:tcW w:w="2448" w:type="dxa"/>
          </w:tcPr>
          <w:p w14:paraId="1B4E3C90" w14:textId="77777777" w:rsidR="002B6BBC" w:rsidRDefault="00000000">
            <w:r>
              <w:rPr>
                <w:sz w:val="18"/>
              </w:rPr>
              <w:t>Pricing / Scénarios / Market Data / Collecteur</w:t>
            </w:r>
          </w:p>
        </w:tc>
        <w:tc>
          <w:tcPr>
            <w:tcW w:w="7488" w:type="dxa"/>
          </w:tcPr>
          <w:p w14:paraId="23762327" w14:textId="77777777" w:rsidR="002B6BBC" w:rsidRDefault="00000000">
            <w:r>
              <w:rPr>
                <w:sz w:val="18"/>
              </w:rPr>
              <w:t>Pricer interactif Black-76 vs CRR · stress par repricing complet · chaîne brute · monitoring temps réel (heartbeat)</w:t>
            </w:r>
          </w:p>
        </w:tc>
      </w:tr>
    </w:tbl>
    <w:p w14:paraId="5E3F040F" w14:textId="77777777" w:rsidR="002B6BBC" w:rsidRDefault="00000000">
      <w:pPr>
        <w:pStyle w:val="Titre1"/>
      </w:pPr>
      <w:r>
        <w:rPr>
          <w:color w:val="1A3A5C"/>
        </w:rPr>
        <w:t>4. Au-delà de la roadmap — quatre extensions quantitatives</w:t>
      </w:r>
    </w:p>
    <w:p w14:paraId="328BA81D" w14:textId="77777777" w:rsidR="002B6BBC" w:rsidRDefault="00000000">
      <w:pPr>
        <w:spacing w:after="120"/>
      </w:pPr>
      <w:r>
        <w:rPr>
          <w:sz w:val="21"/>
        </w:rPr>
        <w:t>Quatre modules « desk » qui RÉUTILISENT l'infrastructure (spot du store, σ de la surface SVI, forwards de parité, vega € de la grille) :</w:t>
      </w:r>
    </w:p>
    <w:p w14:paraId="32BD3342" w14:textId="77777777" w:rsidR="002B6BBC" w:rsidRDefault="00000000">
      <w:pPr>
        <w:pStyle w:val="Titre2"/>
      </w:pPr>
      <w:r>
        <w:rPr>
          <w:color w:val="2C5577"/>
        </w:rPr>
        <w:t>4.1 Monte Carlo — option asiatique (mesure risque-neutre)</w:t>
      </w:r>
    </w:p>
    <w:p w14:paraId="1F6432D6" w14:textId="77777777" w:rsidR="002B6BBC" w:rsidRDefault="00000000">
      <w:pPr>
        <w:spacing w:after="120"/>
      </w:pPr>
      <w:r>
        <w:rPr>
          <w:sz w:val="20"/>
        </w:rPr>
        <w:t>Payoff path-dependent → territoire de MC : GBM sous ℚ avec drift calé point par point sur NOTRE courbe forward (les forwards de marché sont superposés aux trajectoires simulées — la moyenne MC passe dessus), quasi-Monte Carlo (Sobol), variate de contrôle géométrique (Kemna-Vorst exact, variance ÷50), greeks à nombres aléatoires communs, strike ladder repricé sur les mêmes chemins. Et un simulateur de DELTA-HEDGE : vente au prix Black puis couverture discrète le long des chemins — P&amp;L centré sur zéro qui se resserre avec la fréquence, coûts de transaction en bps, et le pari vol réalisée vs implicite (E[P&amp;L] ≈ vega·(σimpl − σréal)).</w:t>
      </w:r>
    </w:p>
    <w:p w14:paraId="61FEF6A2" w14:textId="77777777" w:rsidR="002B6BBC" w:rsidRDefault="00000000">
      <w:pPr>
        <w:pStyle w:val="Titre2"/>
      </w:pPr>
      <w:r>
        <w:rPr>
          <w:color w:val="2C5577"/>
        </w:rPr>
        <w:t>4.2 Variance swap &amp; mini-VSTOXX (réplication model-free)</w:t>
      </w:r>
    </w:p>
    <w:p w14:paraId="0D489C37" w14:textId="77777777" w:rsidR="002B6BBC" w:rsidRDefault="00000000">
      <w:pPr>
        <w:spacing w:after="120"/>
      </w:pPr>
      <w:r>
        <w:rPr>
          <w:sz w:val="20"/>
        </w:rPr>
        <w:t>Le strike de variance répliqué par le log-contrat (méthodologie VIX) sur un strip de 400 options densifié par la surface SVI ; indice 30 jours interpolé en variance totale. Résultat : mini-VSTOXX maison ≈ 19,5 — directement comparable au VSTOXX officiel (champ de saisie pour mesurer l'écart). La prime de convexité K_var − σ_ATM (le « prix du skew ») est affichée par maturité, ainsi que le strip EXÉCUTABLE au bid/ask réel.</w:t>
      </w:r>
    </w:p>
    <w:p w14:paraId="359DAB05" w14:textId="77777777" w:rsidR="002B6BBC" w:rsidRDefault="00000000">
      <w:pPr>
        <w:pStyle w:val="Titre2"/>
      </w:pPr>
      <w:r>
        <w:rPr>
          <w:color w:val="2C5577"/>
        </w:rPr>
        <w:t>4.3 Trade de dispersion (sur la corrélation implicite)</w:t>
      </w:r>
    </w:p>
    <w:p w14:paraId="7CB6ABC4" w14:textId="77777777" w:rsidR="002B6BBC" w:rsidRDefault="00000000">
      <w:pPr>
        <w:spacing w:after="120"/>
      </w:pPr>
      <w:r>
        <w:rPr>
          <w:sz w:val="20"/>
        </w:rPr>
        <w:t>La corrélation implicite ρ̄ extraite de l'identité de variance (indice vs 50 composantes, ≈ 0,25-0,35 selon le tenor) devient un trade : short vol indice / long vol composantes vega-weighted, panier en contrats réels, P&amp;L vs corrélation réalisée (breakeven au ρ̄ d'entrée), risque net du package (gamma/theta €) et coût d'entrée au demi-spread des 46 jambes. Les niveaux ρ̄ et l'indice de variance sont historisés à chaque cycle.</w:t>
      </w:r>
    </w:p>
    <w:p w14:paraId="06E86CF3" w14:textId="77777777" w:rsidR="002B6BBC" w:rsidRDefault="00000000">
      <w:pPr>
        <w:pStyle w:val="Titre2"/>
      </w:pPr>
      <w:r>
        <w:rPr>
          <w:color w:val="2C5577"/>
        </w:rPr>
        <w:t>4.4 Analyseur de risques de stratégies</w:t>
      </w:r>
    </w:p>
    <w:p w14:paraId="1DA86BBD" w14:textId="77777777" w:rsidR="002B6BBC" w:rsidRDefault="00000000">
      <w:pPr>
        <w:spacing w:after="120"/>
      </w:pPr>
      <w:r>
        <w:rPr>
          <w:sz w:val="20"/>
        </w:rPr>
        <w:t>Réplique de l'outil de référence du cours (Stratégies / Mensuel / Journalier / Intervalle), VALIDÉE AU CENTIÈME contre l'original par 8 tests (p mensuel rouge 44,26 %, lois binomiale et des séries consécutives par récurrence dynamique, IC du Sharpe [−0,464 ; 3,464] pour Ŝ=1,5 sur 252 j). Ajouts : vérification de cohérence (semi-définie-positivité) de la matrice de corrélation saisie, et courbe de l'IC en fonction de T montrant le track record nécessaire à la significativité (~1,7 an pour un Sharpe 1,5).</w:t>
      </w:r>
    </w:p>
    <w:p w14:paraId="6139F3BF" w14:textId="77777777" w:rsidR="002B6BBC" w:rsidRDefault="00000000">
      <w:r>
        <w:br w:type="page"/>
      </w:r>
    </w:p>
    <w:p w14:paraId="0748C82C" w14:textId="77777777" w:rsidR="002B6BBC" w:rsidRDefault="00000000">
      <w:pPr>
        <w:pStyle w:val="Titre1"/>
      </w:pPr>
      <w:r>
        <w:rPr>
          <w:color w:val="1A3A5C"/>
        </w:rPr>
        <w:lastRenderedPageBreak/>
        <w:t>5. La rigueur d'ingénierie (preuves)</w:t>
      </w:r>
    </w:p>
    <w:p w14:paraId="0E33F509" w14:textId="77777777" w:rsidR="002B6BBC" w:rsidRDefault="00000000">
      <w:pPr>
        <w:pStyle w:val="Listepuces"/>
        <w:spacing w:after="40"/>
      </w:pPr>
      <w:r>
        <w:rPr>
          <w:b/>
          <w:sz w:val="19"/>
        </w:rPr>
        <w:t xml:space="preserve">Tests — </w:t>
      </w:r>
      <w:r>
        <w:rPr>
          <w:sz w:val="19"/>
        </w:rPr>
        <w:t>110 tests automatisés : parité put-call au centime, round-trip prix↔IV, no-arbitrage, martingale du MC, convergence vers les formes fermées, réplication des sorties de l'outil de référence, callbacks du dashboard.</w:t>
      </w:r>
    </w:p>
    <w:p w14:paraId="7A4C24D2" w14:textId="77777777" w:rsidR="002B6BBC" w:rsidRDefault="00000000">
      <w:pPr>
        <w:pStyle w:val="Listepuces"/>
        <w:spacing w:after="40"/>
      </w:pPr>
      <w:r>
        <w:rPr>
          <w:b/>
          <w:sz w:val="19"/>
        </w:rPr>
        <w:t xml:space="preserve">Audits — </w:t>
      </w:r>
      <w:r>
        <w:rPr>
          <w:sz w:val="19"/>
        </w:rPr>
        <w:t>six audits de conformité successifs (V2 → V6, Word régénérables par script), dont un audit INDÉPENDANT sévère (V4 : 9 Conforme / 7 Partiel) qui a piloté la fermeture de tous les écarts. V6 : 14 Conforme / 2 Conforme− — les 2 réserves restantes sont externes au code (login navigateur imposé par IBKR retail ; démonstration de handover par un tiers).</w:t>
      </w:r>
    </w:p>
    <w:p w14:paraId="562D823A" w14:textId="77777777" w:rsidR="002B6BBC" w:rsidRDefault="00000000">
      <w:pPr>
        <w:pStyle w:val="Listepuces"/>
        <w:spacing w:after="40"/>
      </w:pPr>
      <w:r>
        <w:rPr>
          <w:b/>
          <w:sz w:val="19"/>
        </w:rPr>
        <w:t xml:space="preserve">Incident vécu et résolu — </w:t>
      </w:r>
      <w:r>
        <w:rPr>
          <w:sz w:val="19"/>
        </w:rPr>
        <w:t>le 11/06 en séance, des lots entiers de cotations sont revenus vides : diagnostic par hypothèses éliminées avec preuves (session concurrente : non ; marché fermé : non ; warm-up : partiel) jusqu'à la cause racine (saturation des souscriptions market data), corrigé et validé en 1h45 — précisément le critère d'acceptance de l'étape 14 (« un opérateur identifie les défaillances en minutes »), exercé en réel. Chronologie complète dans l'audit V6.</w:t>
      </w:r>
    </w:p>
    <w:p w14:paraId="2AE9C150" w14:textId="77777777" w:rsidR="002B6BBC" w:rsidRDefault="00000000">
      <w:pPr>
        <w:pStyle w:val="Listepuces"/>
        <w:spacing w:after="40"/>
      </w:pPr>
      <w:r>
        <w:rPr>
          <w:b/>
          <w:sz w:val="19"/>
        </w:rPr>
        <w:t xml:space="preserve">Exploitation — </w:t>
      </w:r>
      <w:r>
        <w:rPr>
          <w:sz w:val="19"/>
        </w:rPr>
        <w:t>runbooks opérationnels (start-of-day, incident market data, ajout de sous-jacent), checklist de handover automatisée (6/6), scheduler système, limitations connues DOCUMENTÉES (données différées 15 min, Nordea sans entitlement Nasdaq Nordic, grille réduite assumée et réversible par config, poids égaux pour la dispersion).</w:t>
      </w:r>
    </w:p>
    <w:p w14:paraId="64A9F686" w14:textId="77777777" w:rsidR="002B6BBC" w:rsidRDefault="002B6BBC">
      <w:pPr>
        <w:spacing w:after="40"/>
      </w:pPr>
    </w:p>
    <w:p w14:paraId="6850126A" w14:textId="4A64CE38" w:rsidR="002B6BBC" w:rsidRDefault="002B6BBC">
      <w:pPr>
        <w:spacing w:after="120"/>
      </w:pPr>
    </w:p>
    <w:sectPr w:rsidR="002B6BB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72982514">
    <w:abstractNumId w:val="8"/>
  </w:num>
  <w:num w:numId="2" w16cid:durableId="2031713756">
    <w:abstractNumId w:val="6"/>
  </w:num>
  <w:num w:numId="3" w16cid:durableId="236328159">
    <w:abstractNumId w:val="5"/>
  </w:num>
  <w:num w:numId="4" w16cid:durableId="248589355">
    <w:abstractNumId w:val="4"/>
  </w:num>
  <w:num w:numId="5" w16cid:durableId="1562863426">
    <w:abstractNumId w:val="7"/>
  </w:num>
  <w:num w:numId="6" w16cid:durableId="48842736">
    <w:abstractNumId w:val="3"/>
  </w:num>
  <w:num w:numId="7" w16cid:durableId="2089618998">
    <w:abstractNumId w:val="2"/>
  </w:num>
  <w:num w:numId="8" w16cid:durableId="826941271">
    <w:abstractNumId w:val="1"/>
  </w:num>
  <w:num w:numId="9" w16cid:durableId="338393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A3D"/>
    <w:rsid w:val="0015074B"/>
    <w:rsid w:val="0029639D"/>
    <w:rsid w:val="002B6BBC"/>
    <w:rsid w:val="00326F90"/>
    <w:rsid w:val="008509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43404A-290E-49E8-BF76-5A67C4C1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1359</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Caillaud</cp:lastModifiedBy>
  <cp:revision>2</cp:revision>
  <dcterms:created xsi:type="dcterms:W3CDTF">2013-12-23T23:15:00Z</dcterms:created>
  <dcterms:modified xsi:type="dcterms:W3CDTF">2026-06-11T15:07:00Z</dcterms:modified>
  <cp:category/>
</cp:coreProperties>
</file>