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0"/>
      </w:pPr>
      <w:r>
        <w:rPr>
          <w:b w:val="0"/>
          <w:i w:val="0"/>
          <w:sz w:val="20"/>
        </w:rPr>
      </w:r>
    </w:p>
    <w:p>
      <w:pPr>
        <w:spacing w:after="240"/>
        <w:jc w:val="center"/>
      </w:pPr>
      <w:r>
        <w:rPr>
          <w:b/>
          <w:i w:val="0"/>
          <w:color w:val="1A3A5C"/>
          <w:sz w:val="52"/>
        </w:rPr>
        <w:t>AUDIT DE CONFORMITÉ — V5</w:t>
      </w:r>
    </w:p>
    <w:p>
      <w:pPr>
        <w:spacing w:after="160"/>
        <w:jc w:val="center"/>
      </w:pPr>
      <w:r>
        <w:rPr>
          <w:b w:val="0"/>
          <w:i w:val="0"/>
          <w:color w:val="2C5577"/>
          <w:sz w:val="30"/>
        </w:rPr>
        <w:t>Infrastructure de risque de volatilité — EURO STOXX 50</w:t>
      </w:r>
    </w:p>
    <w:p>
      <w:pPr>
        <w:spacing w:after="600"/>
        <w:jc w:val="center"/>
      </w:pPr>
      <w:r>
        <w:rPr>
          <w:b w:val="0"/>
          <w:i/>
          <w:color w:val="6A737D"/>
          <w:sz w:val="22"/>
        </w:rPr>
        <w:t>Projet vs « Industrial Roadmap for a Volatility Infrastructure Platform » v4 (16 étapes, Parts I–XIX) et spécification EURO STOXX 50 du professeur</w:t>
      </w:r>
    </w:p>
    <w:p>
      <w:pPr>
        <w:spacing w:after="80"/>
        <w:jc w:val="center"/>
      </w:pPr>
      <w:r>
        <w:rPr>
          <w:b w:val="0"/>
          <w:i w:val="0"/>
          <w:sz w:val="24"/>
        </w:rPr>
        <w:t>Date de l'audit : 10 juin 2026</w:t>
      </w:r>
    </w:p>
    <w:p>
      <w:pPr>
        <w:spacing w:after="80"/>
        <w:jc w:val="center"/>
      </w:pPr>
      <w:r>
        <w:rPr>
          <w:b w:val="0"/>
          <w:i w:val="0"/>
          <w:color w:val="6A737D"/>
          <w:sz w:val="22"/>
        </w:rPr>
        <w:t>Baseline : audit indépendant V4 du 8 juin 2026 (9 Conforme · 7 Partiel)</w:t>
      </w:r>
    </w:p>
    <w:p>
      <w:pPr>
        <w:spacing w:after="120"/>
        <w:jc w:val="center"/>
      </w:pPr>
      <w:r>
        <w:rPr>
          <w:b w:val="0"/>
          <w:i w:val="0"/>
          <w:color w:val="6A737D"/>
          <w:sz w:val="22"/>
        </w:rPr>
        <w:t>Périmètre : code, configuration, store Parquet du jour, 66 tests, dashboard</w:t>
      </w:r>
    </w:p>
    <w:p>
      <w:r>
        <w:br w:type="page"/>
      </w:r>
    </w:p>
    <w:p>
      <w:pPr>
        <w:pStyle w:val="Heading1"/>
      </w:pPr>
      <w:r>
        <w:rPr>
          <w:color w:val="1A3A5C"/>
        </w:rPr>
        <w:t>1. Note de cadrage et méthode</w:t>
      </w:r>
    </w:p>
    <w:p>
      <w:pPr>
        <w:spacing w:after="120"/>
      </w:pPr>
      <w:r>
        <w:rPr>
          <w:b w:val="0"/>
          <w:i w:val="0"/>
          <w:sz w:val="21"/>
        </w:rPr>
        <w:t>Objectif : identifier les DIFFÉRENCES NOTABLES entre ce que la roadmap du professeur exige (16 étapes + cadre mathématique Eq.1–25 + critères d'acceptance) et l'état réel du projet au 10 juin 2026. Cet audit V5 part de l'audit indépendant V4 (8 juin) et retrace, écart par écart, ce qui a été fermé, ce qui reste ouvert, et ce qui constitue une déviation volontaire et documentée.</w:t>
      </w:r>
    </w:p>
    <w:p>
      <w:pPr>
        <w:spacing w:after="120"/>
      </w:pPr>
      <w:r>
        <w:rPr>
          <w:b w:val="0"/>
          <w:i w:val="0"/>
          <w:sz w:val="21"/>
        </w:rPr>
        <w:t>Méthode : chaque verdict s'appuie sur des preuves vérifiées dans le dépôt (fichier / table Parquet / test) et sur les données réellement collectées en séance EUREX le 10 juin (50/51 sous-jacents, 2 424 options, partition dt=2026-06-10). Échelle : Conforme · Conforme− (réserves mineures sans impact opérationnel) · Partiel (assumé) · Manquant.</w:t>
      </w:r>
    </w:p>
    <w:p>
      <w:pPr>
        <w:spacing w:after="120"/>
      </w:pPr>
      <w:r>
        <w:rPr>
          <w:b w:val="0"/>
          <w:i w:val="0"/>
          <w:sz w:val="21"/>
        </w:rPr>
        <w:t>Contexte d'évolution majeure depuis V4 : pivot complet de l'univers vers l'EURO STOXX 50 (indice OESX Black-76 européen + 50 composantes CRR américain), migration TWS → IBKR Web API achevée, refonte du dashboard (12 pages), fermeture du backlog roadmap (Eq.22, Eq.23, pricing_results, positions, versioning).</w:t>
      </w:r>
    </w:p>
    <w:p>
      <w:pPr>
        <w:pStyle w:val="Heading1"/>
      </w:pPr>
      <w:r>
        <w:rPr>
          <w:color w:val="1A3A5C"/>
        </w:rPr>
        <w:t>2. Synthèse exécutive</w:t>
      </w:r>
    </w:p>
    <w:p>
      <w:pPr>
        <w:spacing w:after="80"/>
      </w:pPr>
      <w:r>
        <w:rPr>
          <w:b/>
          <w:i w:val="0"/>
          <w:color w:val="3F8950"/>
          <w:sz w:val="26"/>
        </w:rPr>
        <w:t>Verdict global V5 : 14 Conforme · 2 Conforme− · 0 Partiel · 0 Manquant</w:t>
      </w:r>
    </w:p>
    <w:p>
      <w:pPr>
        <w:spacing w:after="120"/>
      </w:pPr>
      <w:r>
        <w:rPr>
          <w:b w:val="0"/>
          <w:i/>
          <w:color w:val="6A737D"/>
          <w:sz w:val="20"/>
        </w:rPr>
        <w:t>Pour mémoire V4 (08/06) : 9 Conforme · 7 Partiel — V2 auto-audit (04/06) : 14 Conforme · 2 Partiel (jugé trop optimiste).</w:t>
      </w:r>
    </w:p>
    <w:p>
      <w:pPr>
        <w:spacing w:after="120"/>
      </w:pPr>
      <w:r>
        <w:rPr>
          <w:b w:val="0"/>
          <w:i w:val="0"/>
          <w:sz w:val="21"/>
        </w:rPr>
        <w:t>Tous les écarts « durs » de V4 sont fermés : les 3 tables jamais écrites (surface_parameters, pricing_results, positions), l'agrégation de risque morte (aggregate_risk), les réconciliations greeks (diff-finies ET broker), les checks QC manquants (coverage, parité, carry, greek sanity), les diagnostics forward/IV non persistés, le versionnement physique des partitions, les 2 équations absentes (Eq.22, Eq.23), la librairie de quote-QC nommée, l'archivage des payloads secdef, l'escalade S1–S4 codée, le scheduler système (Planificateur Windows), le routage d'alertes externe et le catalogue de métriques. Les 2 Conforme− restants tiennent à des contraintes EXTERNES : login navigateur du gateway imposé par IBKR retail (ét. 15) et démonstration de handover par un tiers humain (ét. 16).</w:t>
      </w:r>
    </w:p>
    <w:p>
      <w:pPr>
        <w:spacing w:after="120"/>
      </w:pPr>
      <w:r>
        <w:rPr>
          <w:b w:val="0"/>
          <w:i/>
          <w:color w:val="6A737D"/>
          <w:sz w:val="19"/>
        </w:rPr>
        <w:t>Note de prudence : les fermetures du 10/06 après-midi (greeks broker, payloads, carry, escalade, métriques) sont testées unitairement (85 tests) et vérifiées hors-ligne ; leur passage en conditions réelles sera constaté au prochain cycle collecteur en séance.</w:t>
      </w:r>
    </w:p>
    <w:p>
      <w:pPr>
        <w:pStyle w:val="Heading2"/>
      </w:pPr>
      <w:r>
        <w:rPr>
          <w:color w:val="2C5577"/>
        </w:rPr>
        <w:t>2.1 Tableau de synthèse — V4 → V5 par étape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736"/>
            <w:shd w:val="clear" w:fill="dbe7f0"/>
          </w:tcPr>
          <w:p>
            <w:r>
              <w:rPr>
                <w:b/>
                <w:sz w:val="18"/>
              </w:rPr>
              <w:t>Étape</w:t>
            </w:r>
          </w:p>
        </w:tc>
        <w:tc>
          <w:tcPr>
            <w:tcW w:type="dxa" w:w="1296"/>
            <w:shd w:val="clear" w:fill="dbe7f0"/>
          </w:tcPr>
          <w:p>
            <w:r>
              <w:rPr>
                <w:b/>
                <w:sz w:val="18"/>
              </w:rPr>
              <w:t>V4 (08/06)</w:t>
            </w:r>
          </w:p>
        </w:tc>
        <w:tc>
          <w:tcPr>
            <w:tcW w:type="dxa" w:w="1440"/>
            <w:shd w:val="clear" w:fill="dbe7f0"/>
          </w:tcPr>
          <w:p>
            <w:r>
              <w:rPr>
                <w:b/>
                <w:sz w:val="18"/>
              </w:rPr>
              <w:t>V5 (10/06)</w:t>
            </w:r>
          </w:p>
        </w:tc>
        <w:tc>
          <w:tcPr>
            <w:tcW w:type="dxa" w:w="4464"/>
            <w:shd w:val="clear" w:fill="dbe7f0"/>
          </w:tcPr>
          <w:p>
            <w:r>
              <w:rPr>
                <w:b/>
                <w:sz w:val="18"/>
              </w:rPr>
              <w:t>Ce qui a changé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1 — Accès, environnements, sécurité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Conforme−</w:t>
            </w:r>
          </w:p>
        </w:tc>
        <w:tc>
          <w:tcPr>
            <w:tcW w:type="dxa" w:w="1440"/>
          </w:tcPr>
          <w:p>
            <w:r>
              <w:rPr>
                <w:b/>
                <w:color w:val="3F8950"/>
                <w:sz w:val="18"/>
              </w:rPr>
              <w:t>Conforme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dash / dash-bootstrap-components ajoutés à requirements.txt (install machine neuve OK) ; docs gateway_setup/environment réécrites.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2 — Instrument master &amp; discovery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Conforme−</w:t>
            </w:r>
          </w:p>
        </w:tc>
        <w:tc>
          <w:tcPr>
            <w:tcW w:type="dxa" w:w="1440"/>
          </w:tcPr>
          <w:p>
            <w:r>
              <w:rPr>
                <w:b/>
                <w:color w:val="3F8950"/>
                <w:sz w:val="18"/>
              </w:rPr>
              <w:t>Conforme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Master canonique versionné OK ; écart fermé le 10/06 : chaque réponse /iserver/secdef/* est archivée comme évidence brute (data/raw_payloads/dt=*/secdef_payloads.jsonl).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3 — Ingestion market data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Conforme</w:t>
            </w:r>
          </w:p>
        </w:tc>
        <w:tc>
          <w:tcPr>
            <w:tcW w:type="dxa" w:w="1440"/>
          </w:tcPr>
          <w:p>
            <w:r>
              <w:rPr>
                <w:b/>
                <w:color w:val="3F8950"/>
                <w:sz w:val="18"/>
              </w:rPr>
              <w:t>Conforme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Couche brute append-only inchangée ; collecte étendue à 51 sous-jacents (50/51 OK).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4 — Stockage persistant &amp; data model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Partiel</w:t>
            </w:r>
          </w:p>
        </w:tc>
        <w:tc>
          <w:tcPr>
            <w:tcW w:type="dxa" w:w="1440"/>
          </w:tcPr>
          <w:p>
            <w:r>
              <w:rPr>
                <w:b/>
                <w:color w:val="3F8950"/>
                <w:sz w:val="18"/>
              </w:rPr>
              <w:t>Conforme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Les 3 tables jamais écrites sont fermées : surface_parameters, pricing_results, positions (+ surface_interpolated, dispersion_diagnostics). Versioning des partitions ajouté.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5 — Spot builder &amp; snapshots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Conforme</w:t>
            </w:r>
          </w:p>
        </w:tc>
        <w:tc>
          <w:tcPr>
            <w:tcW w:type="dxa" w:w="1440"/>
          </w:tcPr>
          <w:p>
            <w:r>
              <w:rPr>
                <w:b/>
                <w:color w:val="3F8950"/>
                <w:sz w:val="18"/>
              </w:rPr>
              <w:t>Conforme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Inchangé (market_state_snapshots déterministes, reason codes).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6 — Forward &amp; implied carry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Partiel</w:t>
            </w:r>
          </w:p>
        </w:tc>
        <w:tc>
          <w:tcPr>
            <w:tcW w:type="dxa" w:w="1440"/>
          </w:tcPr>
          <w:p>
            <w:r>
              <w:rPr>
                <w:b/>
                <w:color w:val="3F8950"/>
                <w:sz w:val="18"/>
              </w:rPr>
              <w:t>Conforme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Diagnostics par candidat persistés (forward_diagnostics, y compris rejetés MAD) ; le carry implicite est désormais comparé à des bornes d'attente (check QC carry_consistency). Estimation par maturité indépendante = choix de conception documenté ; taux EUR constant (courbe ESTR = évolution).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7 — Normalisation &amp; QC des quotes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Partiel</w:t>
            </w:r>
          </w:p>
        </w:tc>
        <w:tc>
          <w:tcPr>
            <w:tcW w:type="dxa" w:w="1440"/>
          </w:tcPr>
          <w:p>
            <w:r>
              <w:rPr>
                <w:b/>
                <w:color w:val="3F8950"/>
                <w:sz w:val="18"/>
              </w:rPr>
              <w:t>Conforme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Écarts fermés le 10/06 : la décision d'usabilité est déléguée à une librairie de checks NOMMÉS et versionnés (src/qc/quote_filters.py, qf_v2) ; qc.yaml = seule source des seuils (la valeur en dur de live.py a été supprimée) ; min_open_interest appliqué (0 par défaut, documenté) ; max_quote_age documenté comme non mesurable via le snapshot REST.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8 — Solveur d'IV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Conforme</w:t>
            </w:r>
          </w:p>
        </w:tc>
        <w:tc>
          <w:tcPr>
            <w:tcW w:type="dxa" w:w="1440"/>
          </w:tcPr>
          <w:p>
            <w:r>
              <w:rPr>
                <w:b/>
                <w:color w:val="3F8950"/>
                <w:sz w:val="18"/>
              </w:rPr>
              <w:t>Conforme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Renforcé : routage américain CRR pour les 50 actions (solve_iv_american, carry du forward) ; iv_diagnostics persistés.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9 — Surface engine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Partiel</w:t>
            </w:r>
          </w:p>
        </w:tc>
        <w:tc>
          <w:tcPr>
            <w:tcW w:type="dxa" w:w="1440"/>
          </w:tcPr>
          <w:p>
            <w:r>
              <w:rPr>
                <w:b/>
                <w:color w:val="3F8950"/>
                <w:sz w:val="18"/>
              </w:rPr>
              <w:t>Conforme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surface_parameters (SVI a,b,ρ,m,σ + RMSE) persistés ; Eq.22 implémentée (interpolate_across_maturities → table surface_interpolated aux tenors cibles exacts) ; points rejetés tracés via iv_diagnostics/quality_flag.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10 — Pricing engine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Conforme</w:t>
            </w:r>
          </w:p>
        </w:tc>
        <w:tc>
          <w:tcPr>
            <w:tcW w:type="dxa" w:w="1440"/>
          </w:tcPr>
          <w:p>
            <w:r>
              <w:rPr>
                <w:b/>
                <w:color w:val="3F8950"/>
                <w:sz w:val="18"/>
              </w:rPr>
              <w:t>Conforme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Renforcé : table pricing_results (re-pricing à l'IV résolue vs mid marché, Black-76/CRR routé — preuve de round-trip).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11 — Greeks &amp; per-position risk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Partiel</w:t>
            </w:r>
          </w:p>
        </w:tc>
        <w:tc>
          <w:tcPr>
            <w:tcW w:type="dxa" w:w="1440"/>
          </w:tcPr>
          <w:p>
            <w:r>
              <w:rPr>
                <w:b/>
                <w:color w:val="3F8950"/>
                <w:sz w:val="18"/>
              </w:rPr>
              <w:t>Conforme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aggregate_risk branché (vraie agrégation par bucket → risk_aggregates ; détail → position_risk) ; réconciliation diff-finies (greeks_reconciliation + check QC) ; greeks € monétisés sur toute la grille ; et désormais réconciliation FORMELLE plateforme vs greeks BROKER (capture broker_* dans iv_points + check broker_greeks_reconciliation, 'skip' honnête si le broker ne les publie pas).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12 — Scénarios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Conforme</w:t>
            </w:r>
          </w:p>
        </w:tc>
        <w:tc>
          <w:tcPr>
            <w:tcW w:type="dxa" w:w="1440"/>
          </w:tcPr>
          <w:p>
            <w:r>
              <w:rPr>
                <w:b/>
                <w:color w:val="3F8950"/>
                <w:sz w:val="18"/>
              </w:rPr>
              <w:t>Conforme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Inchangé (grille versionnée, repricing complet). Vide tant que le compte paper n'a pas de positions (by design).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13 — Reconstruction &amp; replay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Conforme−</w:t>
            </w:r>
          </w:p>
        </w:tc>
        <w:tc>
          <w:tcPr>
            <w:tcW w:type="dxa" w:w="1440"/>
          </w:tcPr>
          <w:p>
            <w:r>
              <w:rPr>
                <w:b/>
                <w:color w:val="3F8950"/>
                <w:sz w:val="18"/>
              </w:rPr>
              <w:t>Conforme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Versionnement physique fermé : chaque écriture (collecteur ET pipeline EOD/replay) conserve versions/&lt;run_id&gt;.parquet ; data.parquet = dernier état pour le front.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14 — Validation framework &amp; anomalies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Partiel</w:t>
            </w:r>
          </w:p>
        </w:tc>
        <w:tc>
          <w:tcPr>
            <w:tcW w:type="dxa" w:w="1440"/>
          </w:tcPr>
          <w:p>
            <w:r>
              <w:rPr>
                <w:b/>
                <w:color w:val="3F8950"/>
                <w:sz w:val="18"/>
              </w:rPr>
              <w:t>Conforme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Checks fermés : option_chain_coverage, put_call_parity (tolérance ×3 américaines), greeks_reconciliation, carry_consistency, broker_greeks_reconciliation. Escalade S1–S4 désormais CODÉE : chaque alerte porte niveau/owner/SLA/échéance (qc.yaml escalation).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15 — Orchestration &amp; observabilité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Partiel</w:t>
            </w:r>
          </w:p>
        </w:tc>
        <w:tc>
          <w:tcPr>
            <w:tcW w:type="dxa" w:w="1440"/>
          </w:tcPr>
          <w:p>
            <w:r>
              <w:rPr>
                <w:b/>
                <w:color w:val="3F8950"/>
                <w:sz w:val="18"/>
              </w:rPr>
              <w:t>Conforme−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Fermés le 10/06 : scheduler SYSTÈME via le Planificateur de tâches Windows (scripts/schedule_collector.ps1 : collecteur 09:05 + EOD 17:45, jours ouvrés) ; routage d'alertes externe CODÉ (alert_router.py : webhook Slack + SMTP, secrets via env) ; catalogue de métriques par cycle dans collector_status.json (rates, ratios usable, compteurs QC). Réserves : login navigateur du gateway toujours manuel (contrainte IBKR retail) ; livraison externe inactive tant que webhook/SMTP non renseignés.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16 — Handover production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Conforme−</w:t>
            </w:r>
          </w:p>
        </w:tc>
        <w:tc>
          <w:tcPr>
            <w:tcW w:type="dxa" w:w="1440"/>
          </w:tcPr>
          <w:p>
            <w:r>
              <w:rPr>
                <w:b/>
                <w:color w:val="3F8950"/>
                <w:sz w:val="18"/>
              </w:rPr>
              <w:t>Conforme−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Docs complètes + checklist de handover AUTOMATISÉE (scripts/handover_check.py : env, store, replay, rapport QC, docs, gateway — 6/6 PASS le 10/06). Seul reste le critère littéral : la démonstration par un TIERS humain n'a pas encore eu lieu.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A5C"/>
        </w:rPr>
        <w:t>3. Détail par étape (exigence → état → écarts)</w:t>
      </w:r>
    </w:p>
    <w:p>
      <w:pPr>
        <w:pStyle w:val="Heading2"/>
      </w:pPr>
      <w:r>
        <w:rPr>
          <w:color w:val="2C5577"/>
        </w:rPr>
        <w:t>Étape 1 — Accès, environnements et sécurité</w:t>
      </w:r>
    </w:p>
    <w:p>
      <w:pPr>
        <w:spacing w:after="60"/>
      </w:pPr>
      <w:r>
        <w:rPr>
          <w:b w:val="0"/>
          <w:i/>
          <w:color w:val="6A737D"/>
          <w:sz w:val="19"/>
        </w:rPr>
        <w:t>Exigence roadmap (acceptance) : Une machine neuve doit pouvoir être provisionnée depuis la documentation ; secrets hors dépôt ; chaque étape manuelle documentée.</w:t>
      </w:r>
    </w:p>
    <w:p>
      <w:pPr>
        <w:spacing w:after="60"/>
      </w:pPr>
      <w:r>
        <w:rPr>
          <w:b w:val="0"/>
          <w:i w:val="0"/>
          <w:sz w:val="20"/>
        </w:rPr>
        <w:t>État au 10/06 : requirements.txt complet (ibind, dash 4.1.0, dash-bootstrap-components 2.0.4 — trou V4 corrigé) ; docs/gateway_setup.md (Client Portal Gateway Java pas-à-pas + IBeam Docker) ; docs/environment.md ; .env.example ; scripts/bootstrap.py = smoke test connectivité.</w:t>
      </w:r>
    </w:p>
    <w:p>
      <w:pPr>
        <w:spacing w:after="120"/>
      </w:pPr>
      <w:r>
        <w:rPr>
          <w:b w:val="0"/>
          <w:i w:val="0"/>
          <w:color w:val="3F8950"/>
          <w:sz w:val="20"/>
        </w:rPr>
        <w:t>Écarts restants : Aucun écart notable.</w:t>
      </w:r>
    </w:p>
    <w:p>
      <w:pPr>
        <w:pStyle w:val="Heading2"/>
      </w:pPr>
      <w:r>
        <w:rPr>
          <w:color w:val="2C5577"/>
        </w:rPr>
        <w:t>Étape 2 — Instrument master et découverte d'univers</w:t>
      </w:r>
    </w:p>
    <w:p>
      <w:pPr>
        <w:spacing w:after="60"/>
      </w:pPr>
      <w:r>
        <w:rPr>
          <w:b w:val="0"/>
          <w:i/>
          <w:color w:val="6A737D"/>
          <w:sz w:val="19"/>
        </w:rPr>
        <w:t>Exigence roadmap (acceptance) : Un sous-jacent configuré doit reproduire le même univers d'options sur des runs répétés ; clé canonique stable indépendante de la session broker ; payloads bruts conservés comme évidence.</w:t>
      </w:r>
    </w:p>
    <w:p>
      <w:pPr>
        <w:spacing w:after="60"/>
      </w:pPr>
      <w:r>
        <w:rPr>
          <w:b w:val="0"/>
          <w:i w:val="0"/>
          <w:sz w:val="20"/>
        </w:rPr>
        <w:t>État au 10/06 : InstrumentMaster versionné (SQLite, 2 474 instruments au 10/06) ; clé canonique instrument_key stable ; univers FIGÉ dans configs/universe.yaml (indice + 50 composantes STOXX, ibkr_symbol pour les doublons SAN1/NDA FI/SANES, option_exchange par valeur) ; réponses brutes /iserver/secdef/* archivées en JSONL daté (data/raw_payloads/dt=*).</w:t>
      </w:r>
    </w:p>
    <w:p>
      <w:pPr>
        <w:spacing w:after="120"/>
      </w:pPr>
      <w:r>
        <w:rPr>
          <w:b w:val="0"/>
          <w:i w:val="0"/>
          <w:color w:val="3F8950"/>
          <w:sz w:val="20"/>
        </w:rPr>
        <w:t>Écarts restants : Aucun écart notable restant.</w:t>
      </w:r>
    </w:p>
    <w:p>
      <w:pPr>
        <w:pStyle w:val="Heading2"/>
      </w:pPr>
      <w:r>
        <w:rPr>
          <w:color w:val="2C5577"/>
        </w:rPr>
        <w:t>Étape 3 — Couche d'ingestion market data</w:t>
      </w:r>
    </w:p>
    <w:p>
      <w:pPr>
        <w:spacing w:after="60"/>
      </w:pPr>
      <w:r>
        <w:rPr>
          <w:b w:val="0"/>
          <w:i/>
          <w:color w:val="6A737D"/>
          <w:sz w:val="19"/>
        </w:rPr>
        <w:t>Exigence roadmap (acceptance) : Append-only, loss-aware : le collecteur tient une séance complète sans supervision ; toute donnée manquante est enregistrée, pas masquée.</w:t>
      </w:r>
    </w:p>
    <w:p>
      <w:pPr>
        <w:spacing w:after="60"/>
      </w:pPr>
      <w:r>
        <w:rPr>
          <w:b w:val="0"/>
          <w:i w:val="0"/>
          <w:sz w:val="20"/>
        </w:rPr>
        <w:t>État au 10/06 : raw_market_events écrit AVANT tout calcul (append-only) ; cycle complet 51 sous-jacents en ~20 min (cache secdef + rate-limiter 429 + chunks snapshot 100 conids) ; échec par symbole isolé et tracé dans collector_status.json (erreur tronquée, n_usable=0).</w:t>
      </w:r>
    </w:p>
    <w:p>
      <w:pPr>
        <w:spacing w:after="120"/>
      </w:pPr>
      <w:r>
        <w:rPr>
          <w:b w:val="0"/>
          <w:i w:val="0"/>
          <w:color w:val="3F8950"/>
          <w:sz w:val="20"/>
        </w:rPr>
        <w:t>Écarts restants : Aucun écart notable. NDA (Nordea) = absence de données ENREGISTRÉE (spot=None), conforme à l'esprit loss-aware.</w:t>
      </w:r>
    </w:p>
    <w:p>
      <w:pPr>
        <w:pStyle w:val="Heading2"/>
      </w:pPr>
      <w:r>
        <w:rPr>
          <w:color w:val="2C5577"/>
        </w:rPr>
        <w:t>Étape 4 — Stockage persistant et data model</w:t>
      </w:r>
    </w:p>
    <w:p>
      <w:pPr>
        <w:spacing w:after="60"/>
      </w:pPr>
      <w:r>
        <w:rPr>
          <w:b w:val="0"/>
          <w:i/>
          <w:color w:val="6A737D"/>
          <w:sz w:val="19"/>
        </w:rPr>
        <w:t>Exigence roadmap (acceptance) : Toutes les tables requises existent ; supporte écritures live incrémentales ET backfills historiques.</w:t>
      </w:r>
    </w:p>
    <w:p>
      <w:pPr>
        <w:spacing w:after="60"/>
      </w:pPr>
      <w:r>
        <w:rPr>
          <w:b w:val="0"/>
          <w:i w:val="0"/>
          <w:sz w:val="20"/>
        </w:rPr>
        <w:t>État au 10/06 : 18 tables Parquet partitionnées par date + lineage (code_version, config_hash, run_id) sur chaque sortie : iv_points, forward_curve, surface_grid, surface_parameters, surface_interpolated, pricing_results, dispersion_diagnostics, market_state_snapshots, forward_diagnostics, iv_diagnostics, greeks_reconciliation, qc_results/triage/anomalies, positions, position_risk, risk_aggregates, scenario_results + raw_market_events. ParquetStore.write(version=run_id) conserve chaque run dans versions/.</w:t>
      </w:r>
    </w:p>
    <w:p>
      <w:pPr>
        <w:spacing w:after="120"/>
      </w:pPr>
      <w:r>
        <w:rPr>
          <w:b w:val="0"/>
          <w:i w:val="0"/>
          <w:color w:val="B58900"/>
          <w:sz w:val="20"/>
        </w:rPr>
        <w:t>Écarts restants : positions/position_risk/risk_aggregates/scenario_results restent vides tant que le compte paper n'a pas de positions (comportement conforme, pas un écart).</w:t>
      </w:r>
    </w:p>
    <w:p>
      <w:pPr>
        <w:pStyle w:val="Heading2"/>
      </w:pPr>
      <w:r>
        <w:rPr>
          <w:color w:val="2C5577"/>
        </w:rPr>
        <w:t>Étape 5 — Spot builder et snapshots d'état de marché</w:t>
      </w:r>
    </w:p>
    <w:p>
      <w:pPr>
        <w:spacing w:after="60"/>
      </w:pPr>
      <w:r>
        <w:rPr>
          <w:b w:val="0"/>
          <w:i/>
          <w:color w:val="6A737D"/>
          <w:sz w:val="19"/>
        </w:rPr>
        <w:t>Exigence roadmap (acceptance) : Mêmes raw events + mêmes paramètres ⇒ mêmes lignes de snapshot (reproductibilité).</w:t>
      </w:r>
    </w:p>
    <w:p>
      <w:pPr>
        <w:spacing w:after="60"/>
      </w:pPr>
      <w:r>
        <w:rPr>
          <w:b w:val="0"/>
          <w:i w:val="0"/>
          <w:sz w:val="20"/>
        </w:rPr>
        <w:t>État au 10/06 : build_snapshot() pur et déterministe ; market_state_snapshots persistés à chaque cycle (2 424 lignes le 10/06) avec is_usable, reference_type, reject_reason.</w:t>
      </w:r>
    </w:p>
    <w:p>
      <w:pPr>
        <w:spacing w:after="120"/>
      </w:pPr>
      <w:r>
        <w:rPr>
          <w:b w:val="0"/>
          <w:i w:val="0"/>
          <w:color w:val="3F8950"/>
          <w:sz w:val="20"/>
        </w:rPr>
        <w:t>Écarts restants : Aucun écart notable.</w:t>
      </w:r>
    </w:p>
    <w:p>
      <w:pPr>
        <w:pStyle w:val="Heading2"/>
      </w:pPr>
      <w:r>
        <w:rPr>
          <w:color w:val="2C5577"/>
        </w:rPr>
        <w:t>Étape 6 — Moteur forward et carry implicite</w:t>
      </w:r>
    </w:p>
    <w:p>
      <w:pPr>
        <w:spacing w:after="60"/>
      </w:pPr>
      <w:r>
        <w:rPr>
          <w:b w:val="0"/>
          <w:i/>
          <w:color w:val="6A737D"/>
          <w:sz w:val="19"/>
        </w:rPr>
        <w:t>Exigence roadmap (acceptance) : Forward stable aux petites perturbations de l'ensemble de strikes éligibles ; conserver chaque candidat intermédiaire pour audit.</w:t>
      </w:r>
    </w:p>
    <w:p>
      <w:pPr>
        <w:spacing w:after="60"/>
      </w:pPr>
      <w:r>
        <w:rPr>
          <w:b w:val="0"/>
          <w:i w:val="0"/>
          <w:sz w:val="20"/>
        </w:rPr>
        <w:t>État au 10/06 : estimate_forward : parité put-call par strike, pondération, rejet z-score MAD (Eq.24) ; table forward_diagnostics persistée (1 084 candidats le 10/06, dont rejetés outlier/illiquide avec poids et flags) ; check QC carry_consistency : le carry implicite est comparé à des bornes d'attente configurées (qc.yaml carry: ±10%).</w:t>
      </w:r>
    </w:p>
    <w:p>
      <w:pPr>
        <w:spacing w:after="120"/>
      </w:pPr>
      <w:r>
        <w:rPr>
          <w:b w:val="0"/>
          <w:i w:val="0"/>
          <w:color w:val="B58900"/>
          <w:sz w:val="20"/>
        </w:rPr>
        <w:t>Écarts restants : Estimation par maturité indépendante (pas de lissage par terme) = choix de conception documenté ; taux EUR constant 0.025 (brancher une courbe ESTR = évolution possible).</w:t>
      </w:r>
    </w:p>
    <w:p>
      <w:pPr>
        <w:pStyle w:val="Heading2"/>
      </w:pPr>
      <w:r>
        <w:rPr>
          <w:color w:val="2C5577"/>
        </w:rPr>
        <w:t>Étape 7 — Normalisation des quotes et contrôle qualité</w:t>
      </w:r>
    </w:p>
    <w:p>
      <w:pPr>
        <w:spacing w:after="60"/>
      </w:pPr>
      <w:r>
        <w:rPr>
          <w:b w:val="0"/>
          <w:i/>
          <w:color w:val="6A737D"/>
          <w:sz w:val="19"/>
        </w:rPr>
        <w:t>Exigence roadmap (acceptance) : Une même quote est acceptée ou rejetée de façon cohérente sous une version de seuils donnée ; pas de QC monolithique.</w:t>
      </w:r>
    </w:p>
    <w:p>
      <w:pPr>
        <w:spacing w:after="60"/>
      </w:pPr>
      <w:r>
        <w:rPr>
          <w:b w:val="0"/>
          <w:i w:val="0"/>
          <w:sz w:val="20"/>
        </w:rPr>
        <w:t>État au 10/06 : Décision d'usabilité déléguée à la librairie de checks NOMMÉS src/qc/quote_filters.py (version qf_v2) : reason codes stables (spread_too_wide, low_open_interest, price_from_last/close, no_price, expired), seuils UNIQUEMENT dans qc.yaml (le 1.0 codé en dur de live.py a été supprimé), min_open_interest appliqué (0 par défaut — OI EUREX absent sur les ailes ; relever pour durcir).</w:t>
      </w:r>
    </w:p>
    <w:p>
      <w:pPr>
        <w:spacing w:after="120"/>
      </w:pPr>
      <w:r>
        <w:rPr>
          <w:b w:val="0"/>
          <w:i w:val="0"/>
          <w:color w:val="B58900"/>
          <w:sz w:val="20"/>
        </w:rPr>
        <w:t>Écarts restants : max_quote_age_seconds non mesurable via le snapshot REST (pas d'horodatage par quote) — documenté plutôt que simulé.</w:t>
      </w:r>
    </w:p>
    <w:p>
      <w:pPr>
        <w:pStyle w:val="Heading2"/>
      </w:pPr>
      <w:r>
        <w:rPr>
          <w:color w:val="2C5577"/>
        </w:rPr>
        <w:t>Étape 8 — Moteur d'inversion de volatilité implicite</w:t>
      </w:r>
    </w:p>
    <w:p>
      <w:pPr>
        <w:spacing w:after="60"/>
      </w:pPr>
      <w:r>
        <w:rPr>
          <w:b w:val="0"/>
          <w:i/>
          <w:color w:val="6A737D"/>
          <w:sz w:val="19"/>
        </w:rPr>
        <w:t>Exigence roadmap (acceptance) : La plupart des quotes liquides convergent proprement ; diagnostics, gestion d'erreur, déterminisme.</w:t>
      </w:r>
    </w:p>
    <w:p>
      <w:pPr>
        <w:spacing w:after="60"/>
      </w:pPr>
      <w:r>
        <w:rPr>
          <w:b w:val="0"/>
          <w:i w:val="0"/>
          <w:sz w:val="20"/>
        </w:rPr>
        <w:t>État au 10/06 : solve_iv (Brent bracketé) pour l'indice (Black-76 européen) ; solve_iv_american (CRR, carry dérivé du forward) pour les 50 actions — routage american=(sec_type=='STK') ; table iv_diagnostics persistée (2 214 lignes : converged, failure_reason, résidu).</w:t>
      </w:r>
    </w:p>
    <w:p>
      <w:pPr>
        <w:spacing w:after="120"/>
      </w:pPr>
      <w:r>
        <w:rPr>
          <w:b w:val="0"/>
          <w:i w:val="0"/>
          <w:color w:val="3F8950"/>
          <w:sz w:val="20"/>
        </w:rPr>
        <w:t>Écarts restants : Aucun écart notable.</w:t>
      </w:r>
    </w:p>
    <w:p>
      <w:pPr>
        <w:pStyle w:val="Heading2"/>
      </w:pPr>
      <w:r>
        <w:rPr>
          <w:color w:val="2C5577"/>
        </w:rPr>
        <w:t>Étape 9 — Moteur de surface et stockage des paramètres</w:t>
      </w:r>
    </w:p>
    <w:p>
      <w:pPr>
        <w:spacing w:after="60"/>
      </w:pPr>
      <w:r>
        <w:rPr>
          <w:b w:val="0"/>
          <w:i/>
          <w:color w:val="6A737D"/>
          <w:sz w:val="19"/>
        </w:rPr>
        <w:t>Exigence roadmap (acceptance) : La surface ajustée reproduit les points acceptés dans la tolérance ; sauvegarder les paramètres ET la grille reconstruite ; comparer surface vs points entrés ; Eq.22 (interpolation cross-maturité).</w:t>
      </w:r>
    </w:p>
    <w:p>
      <w:pPr>
        <w:spacing w:after="60"/>
      </w:pPr>
      <w:r>
        <w:rPr>
          <w:b w:val="0"/>
          <w:i w:val="0"/>
          <w:sz w:val="20"/>
        </w:rPr>
        <w:t>État au 10/06 : SVI par tranche + fallback spline + monotonie calendaire + no-arb papillon ; surface_grid (grille) ET surface_parameters (a,b,ρ,m,σ + RMSE + quality_flag) persistées ; Eq.22 implémentée : interpolate_across_maturities (variance totale, clamp hors plage, brackets tracés) → table surface_interpolated aux tenors cibles exacts. Page Surface du dashboard affiche grille modèle + paramètres.</w:t>
      </w:r>
    </w:p>
    <w:p>
      <w:pPr>
        <w:spacing w:after="120"/>
      </w:pPr>
      <w:r>
        <w:rPr>
          <w:b w:val="0"/>
          <w:i w:val="0"/>
          <w:color w:val="3F8950"/>
          <w:sz w:val="20"/>
        </w:rPr>
        <w:t>Écarts restants : Aucun écart notable restant (les 3 manques V4 sont fermés).</w:t>
      </w:r>
    </w:p>
    <w:p>
      <w:pPr>
        <w:pStyle w:val="Heading2"/>
      </w:pPr>
      <w:r>
        <w:rPr>
          <w:color w:val="2C5577"/>
        </w:rPr>
        <w:t>Étape 10 — Moteur de pricing</w:t>
      </w:r>
    </w:p>
    <w:p>
      <w:pPr>
        <w:spacing w:after="60"/>
      </w:pPr>
      <w:r>
        <w:rPr>
          <w:b w:val="0"/>
          <w:i/>
          <w:color w:val="6A737D"/>
          <w:sz w:val="19"/>
        </w:rPr>
        <w:t>Exigence roadmap (acceptance) : Les cas de référence reproduisent les valeurs attendues ; sorties persistées.</w:t>
      </w:r>
    </w:p>
    <w:p>
      <w:pPr>
        <w:spacing w:after="60"/>
      </w:pPr>
      <w:r>
        <w:rPr>
          <w:b w:val="0"/>
          <w:i w:val="0"/>
          <w:sz w:val="20"/>
        </w:rPr>
        <w:t>État au 10/06 : Black-76 (indice, européen) + arbre CRR 200 pas (actions, américain) ; greeks américains par méthode des nœuds (gamma propre) ; parité put-call au centime (tests) ; table pricing_results : re-pricing de chaque option à l'IV résolue vs mid marché (abs/rel_error) = preuve de round-trip prix↔IV.</w:t>
      </w:r>
    </w:p>
    <w:p>
      <w:pPr>
        <w:spacing w:after="120"/>
      </w:pPr>
      <w:r>
        <w:rPr>
          <w:b w:val="0"/>
          <w:i w:val="0"/>
          <w:color w:val="3F8950"/>
          <w:sz w:val="20"/>
        </w:rPr>
        <w:t>Écarts restants : Aucun écart notable restant.</w:t>
      </w:r>
    </w:p>
    <w:p>
      <w:pPr>
        <w:pStyle w:val="Heading2"/>
      </w:pPr>
      <w:r>
        <w:rPr>
          <w:color w:val="2C5577"/>
        </w:rPr>
        <w:t>Étape 11 — Greeks et risque par position</w:t>
      </w:r>
    </w:p>
    <w:p>
      <w:pPr>
        <w:spacing w:after="60"/>
      </w:pPr>
      <w:r>
        <w:rPr>
          <w:b w:val="0"/>
          <w:i/>
          <w:color w:val="6A737D"/>
          <w:sz w:val="19"/>
        </w:rPr>
        <w:t>Exigence roadmap (acceptance) : Mêmes positions + même snapshot ⇒ mêmes agrégats ; réconciliation contre des checks en différences finies ; réconciliation contre les greeks broker si disponibles.</w:t>
      </w:r>
    </w:p>
    <w:p>
      <w:pPr>
        <w:spacing w:after="60"/>
      </w:pPr>
      <w:r>
        <w:rPr>
          <w:b w:val="0"/>
          <w:i w:val="0"/>
          <w:sz w:val="20"/>
        </w:rPr>
        <w:t>État au 10/06 : Greeks bruts (Δ, Γ, ν/1pt, Θ/jour) + monétisés € (Δ·mult·S, Γ·mult·S², ν·mult, Θ·mult) sur toute la grille (page Greeks du dashboard) ; aggregate_risk_frame = source unique d'agrégation (détail → position_risk, agrégats par bucket → risk_aggregates) — dead code V4 corrigé ; greeks_reconciliation : recalcul diff-finies/re-pricing (571 lignes le 10/06, écarts delta ~0.002-0.006, vega ~0) + check QC à seuils ; greeks BROKER (7308-7311) désormais capturés dans iv_points (colonnes broker_*) et comparés par le check broker_greeks_reconciliation (verdict sur delta ; 'skip' honnête si IBKR ne les publie pas).</w:t>
      </w:r>
    </w:p>
    <w:p>
      <w:pPr>
        <w:spacing w:after="120"/>
      </w:pPr>
      <w:r>
        <w:rPr>
          <w:b w:val="0"/>
          <w:i w:val="0"/>
          <w:color w:val="3F8950"/>
          <w:sz w:val="20"/>
        </w:rPr>
        <w:t>Écarts restants : Aucun écart notable restant — la plateforme reste l'unique source de vérité (greeks broker = diagnostic).</w:t>
      </w:r>
    </w:p>
    <w:p>
      <w:pPr>
        <w:pStyle w:val="Heading2"/>
      </w:pPr>
      <w:r>
        <w:rPr>
          <w:color w:val="2C5577"/>
        </w:rPr>
        <w:t>Étape 12 — Moteur de scénarios</w:t>
      </w:r>
    </w:p>
    <w:p>
      <w:pPr>
        <w:spacing w:after="60"/>
      </w:pPr>
      <w:r>
        <w:rPr>
          <w:b w:val="0"/>
          <w:i/>
          <w:color w:val="6A737D"/>
          <w:sz w:val="19"/>
        </w:rPr>
        <w:t>Exigence roadmap (acceptance) : Un rapport est régénérable exactement (positions + snapshot + version de scénarios) ; définition des scénarios dans le lineage.</w:t>
      </w:r>
    </w:p>
    <w:p>
      <w:pPr>
        <w:spacing w:after="60"/>
      </w:pPr>
      <w:r>
        <w:rPr>
          <w:b w:val="0"/>
          <w:i w:val="0"/>
          <w:sz w:val="20"/>
        </w:rPr>
        <w:t>État au 10/06 : Grille de 7 scénarios versionnée en config (crash/correction/rally/vol spike/vol crush/theta 1j/5j) ; repricing complet (pas seulement l'approximation greeks, Eq.19) ; scenario_results avec lineage + version.</w:t>
      </w:r>
    </w:p>
    <w:p>
      <w:pPr>
        <w:spacing w:after="120"/>
      </w:pPr>
      <w:r>
        <w:rPr>
          <w:b w:val="0"/>
          <w:i w:val="0"/>
          <w:color w:val="B58900"/>
          <w:sz w:val="20"/>
        </w:rPr>
        <w:t>Écarts restants : Vide tant qu'aucune position paper — recommandation : passer 2-3 ordres EUREX pour la démo.</w:t>
      </w:r>
    </w:p>
    <w:p>
      <w:pPr>
        <w:pStyle w:val="Heading2"/>
      </w:pPr>
      <w:r>
        <w:rPr>
          <w:color w:val="2C5577"/>
        </w:rPr>
        <w:t>Étape 13 — Reconstruction historique et replay</w:t>
      </w:r>
    </w:p>
    <w:p>
      <w:pPr>
        <w:spacing w:after="60"/>
      </w:pPr>
      <w:r>
        <w:rPr>
          <w:b w:val="0"/>
          <w:i/>
          <w:color w:val="6A737D"/>
          <w:sz w:val="19"/>
        </w:rPr>
        <w:t>Exigence roadmap (acceptance) : Au moins un mois reconstructible de bout en bout ; écrire dans des partitions versionnées plutôt qu'écraser.</w:t>
      </w:r>
    </w:p>
    <w:p>
      <w:pPr>
        <w:spacing w:after="60"/>
      </w:pPr>
      <w:r>
        <w:rPr>
          <w:b w:val="0"/>
          <w:i w:val="0"/>
          <w:sz w:val="20"/>
        </w:rPr>
        <w:t>État au 10/06 : Replay same-code-path : OptionContract.from_key + master reconstruit du raw → build_snapshots_job → run_eod_pipeline (validé e2e) ; V5 : TOUTES les écritures (collecteur ET EOD/replay) passent version=run_id → versions/&lt;run_id&gt;.parquet conservées, data.parquet = dernier état. Écart V4 (« replay écrase ») fermé.</w:t>
      </w:r>
    </w:p>
    <w:p>
      <w:pPr>
        <w:spacing w:after="120"/>
      </w:pPr>
      <w:r>
        <w:rPr>
          <w:b w:val="0"/>
          <w:i w:val="0"/>
          <w:color w:val="B58900"/>
          <w:sz w:val="20"/>
        </w:rPr>
        <w:t>Écarts restants : L'historique profond reste limité par l'ancienneté du projet (raw depuis fin mai) — contrainte de calendrier, pas de conception.</w:t>
      </w:r>
    </w:p>
    <w:p>
      <w:pPr>
        <w:pStyle w:val="Heading2"/>
      </w:pPr>
      <w:r>
        <w:rPr>
          <w:color w:val="2C5577"/>
        </w:rPr>
        <w:t>Étape 14 — Framework de validation et détection d'anomalies</w:t>
      </w:r>
    </w:p>
    <w:p>
      <w:pPr>
        <w:spacing w:after="60"/>
      </w:pPr>
      <w:r>
        <w:rPr>
          <w:b w:val="0"/>
          <w:i/>
          <w:color w:val="6A737D"/>
          <w:sz w:val="19"/>
        </w:rPr>
        <w:t>Exigence roadmap (acceptance) : Un opérateur identifie en quelques minutes les sous-jacents/maturités en échec.</w:t>
      </w:r>
    </w:p>
    <w:p>
      <w:pPr>
        <w:spacing w:after="60"/>
      </w:pPr>
      <w:r>
        <w:rPr>
          <w:b w:val="0"/>
          <w:i w:val="0"/>
          <w:sz w:val="20"/>
        </w:rPr>
        <w:t>État au 10/06 : 10 checks nommés : iv_convergence, quote_health, surface_fit, no_arbitrage, forward_stability + (V5) option_chain_coverage, put_call_parity, greeks_reconciliation, carry_consistency, broker_greeks_reconciliation ; baselines MAD + z-score robuste (qc_anomalies) ; qc_triage persisté ; escalade S1–S4 CODÉE (chaque alerte de data/alerts.json porte niveau, owner, SLA et échéance due_by — qc.yaml escalation) ; pages QC + Vue d'ensemble (warn/fail par sous-jacent en un coup d'œil).</w:t>
      </w:r>
    </w:p>
    <w:p>
      <w:pPr>
        <w:spacing w:after="120"/>
      </w:pPr>
      <w:r>
        <w:rPr>
          <w:b w:val="0"/>
          <w:i w:val="0"/>
          <w:color w:val="3F8950"/>
          <w:sz w:val="20"/>
        </w:rPr>
        <w:t>Écarts restants : Aucun écart notable restant.</w:t>
      </w:r>
    </w:p>
    <w:p>
      <w:pPr>
        <w:pStyle w:val="Heading2"/>
      </w:pPr>
      <w:r>
        <w:rPr>
          <w:color w:val="2C5577"/>
        </w:rPr>
        <w:t>Étape 15 — Orchestration, logging et observabilité</w:t>
      </w:r>
    </w:p>
    <w:p>
      <w:pPr>
        <w:spacing w:after="60"/>
      </w:pPr>
      <w:r>
        <w:rPr>
          <w:b w:val="0"/>
          <w:i/>
          <w:color w:val="6A737D"/>
          <w:sz w:val="19"/>
        </w:rPr>
        <w:t>Exigence roadmap (acceptance) : Une panne simulée du collecteur/analytics est détectée dans un intervalle documenté.</w:t>
      </w:r>
    </w:p>
    <w:p>
      <w:pPr>
        <w:spacing w:after="60"/>
      </w:pPr>
      <w:r>
        <w:rPr>
          <w:b w:val="0"/>
          <w:i w:val="0"/>
          <w:sz w:val="20"/>
        </w:rPr>
        <w:t>État au 10/06 : Boucle collecteur robuste (reconnect backoff, tickle keep-alive, écritures atomiques, --max-cycles, --log-level) ; logs fichier ; collector_status.json surveillé par le dashboard + bloc metrics par cycle (symbols_ok/failed, quotes, usable_ratio, quote_rate/s, compteurs QC — roadmap Part XIV) ; scheduler SYSTÈME : scripts/schedule_collector.ps1 enregistre VolInfra-Collector (09:05) et VolInfra-EOD (17:45) dans le Planificateur de tâches Windows ; routage d'alertes externe codé (alert_router.py : webhook Slack-compatible + SMTP, secret via VOL_SMTP_PASSWORD) ; collector_session_id + run_id dans status et raw.</w:t>
      </w:r>
    </w:p>
    <w:p>
      <w:pPr>
        <w:spacing w:after="120"/>
      </w:pPr>
      <w:r>
        <w:rPr>
          <w:b w:val="0"/>
          <w:i w:val="0"/>
          <w:color w:val="B58900"/>
          <w:sz w:val="20"/>
        </w:rPr>
        <w:t>Écarts restants : Réserves externes : le login navigateur du gateway reste manuel (contrainte IBKR retail — IBeam documenté comme alternative) ; la livraison webhook/SMTP est inactive tant que les identifiants ne sont pas fournis dans qc.yaml.</w:t>
      </w:r>
    </w:p>
    <w:p>
      <w:pPr>
        <w:pStyle w:val="Heading2"/>
      </w:pPr>
      <w:r>
        <w:rPr>
          <w:color w:val="2C5577"/>
        </w:rPr>
        <w:t>Étape 16 — Durcissement production, documentation, handover</w:t>
      </w:r>
    </w:p>
    <w:p>
      <w:pPr>
        <w:spacing w:after="60"/>
      </w:pPr>
      <w:r>
        <w:rPr>
          <w:b w:val="0"/>
          <w:i/>
          <w:color w:val="6A737D"/>
          <w:sz w:val="19"/>
        </w:rPr>
        <w:t>Exigence roadmap (acceptance) : Un nouvel ingénieur peut installer, lancer un smoke test, déclencher un replay, lire le rapport QC et savoir où enquêter — sans l'auteur.</w:t>
      </w:r>
    </w:p>
    <w:p>
      <w:pPr>
        <w:spacing w:after="60"/>
      </w:pPr>
      <w:r>
        <w:rPr>
          <w:b w:val="0"/>
          <w:i w:val="0"/>
          <w:sz w:val="20"/>
        </w:rPr>
        <w:t>État au 10/06 : README quickstart (gateway → collecteur → dashboard) ; docs/gateway_setup, environment, runbooks, release_checklist, known_limitations (à jour), interface_contracts (signatures gelées) ; CLAUDE.md/AGENTS.md ; 85 tests automatisés ; checklist de handover AUTOMATISÉE scripts/handover_check.py rejouant le parcours « nouvel ingénieur » (env → store → replay → rapport QC → docs → gateway) : 6/6 PASS le 10/06.</w:t>
      </w:r>
    </w:p>
    <w:p>
      <w:pPr>
        <w:spacing w:after="120"/>
      </w:pPr>
      <w:r>
        <w:rPr>
          <w:b w:val="0"/>
          <w:i w:val="0"/>
          <w:color w:val="B58900"/>
          <w:sz w:val="20"/>
        </w:rPr>
        <w:t>Écarts restants : Le critère littéral « un tiers humain réalise le parcours sans l'auteur » reste à démontrer en conditions réelles. Tout le matériel et le script de vérification existent.</w:t>
      </w:r>
    </w:p>
    <w:p>
      <w:r>
        <w:br w:type="page"/>
      </w:r>
    </w:p>
    <w:p>
      <w:pPr>
        <w:pStyle w:val="Heading1"/>
      </w:pPr>
      <w:r>
        <w:rPr>
          <w:color w:val="1A3A5C"/>
        </w:rPr>
        <w:t>4. Couverture du cadre mathématique (Part II — Eq.1 à Eq.25)</w:t>
      </w:r>
    </w:p>
    <w:p>
      <w:pPr>
        <w:spacing w:after="120"/>
      </w:pPr>
      <w:r>
        <w:rPr>
          <w:b/>
          <w:i w:val="0"/>
          <w:color w:val="3F8950"/>
          <w:sz w:val="22"/>
        </w:rPr>
        <w:t>25 équations sur 25 implémentées (V4 : 23/25 — Eq.22 et Eq.23 fermées le 10/06).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736"/>
            <w:shd w:val="clear" w:fill="dbe7f0"/>
          </w:tcPr>
          <w:p>
            <w:r>
              <w:rPr>
                <w:b/>
                <w:sz w:val="18"/>
              </w:rPr>
              <w:t>Bloc</w:t>
            </w:r>
          </w:p>
        </w:tc>
        <w:tc>
          <w:tcPr>
            <w:tcW w:type="dxa" w:w="1440"/>
            <w:shd w:val="clear" w:fill="dbe7f0"/>
          </w:tcPr>
          <w:p>
            <w:r>
              <w:rPr>
                <w:b/>
                <w:sz w:val="18"/>
              </w:rPr>
              <w:t>Équations</w:t>
            </w:r>
          </w:p>
        </w:tc>
        <w:tc>
          <w:tcPr>
            <w:tcW w:type="dxa" w:w="2160"/>
            <w:shd w:val="clear" w:fill="dbe7f0"/>
          </w:tcPr>
          <w:p>
            <w:r>
              <w:rPr>
                <w:b/>
                <w:sz w:val="18"/>
              </w:rPr>
              <w:t>Statut</w:t>
            </w:r>
          </w:p>
        </w:tc>
        <w:tc>
          <w:tcPr>
            <w:tcW w:type="dxa" w:w="3600"/>
            <w:shd w:val="clear" w:fill="dbe7f0"/>
          </w:tcPr>
          <w:p>
            <w:r>
              <w:rPr>
                <w:b/>
                <w:sz w:val="18"/>
              </w:rPr>
              <w:t>Implémentation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Spot, forward &amp; carry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Eq.1 – Eq.5</w:t>
            </w:r>
          </w:p>
        </w:tc>
        <w:tc>
          <w:tcPr>
            <w:tcW w:type="dxa" w:w="2160"/>
          </w:tcPr>
          <w:p>
            <w:r>
              <w:rPr>
                <w:b/>
                <w:color w:val="3F8950"/>
                <w:sz w:val="18"/>
              </w:rPr>
              <w:t>Conforme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forwards/engine.py (parité, pondération, carry)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Log-moneyness &amp; variance totale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Eq.6 – Eq.7</w:t>
            </w:r>
          </w:p>
        </w:tc>
        <w:tc>
          <w:tcPr>
            <w:tcW w:type="dxa" w:w="2160"/>
          </w:tcPr>
          <w:p>
            <w:r>
              <w:rPr>
                <w:b/>
                <w:color w:val="3F8950"/>
                <w:sz w:val="18"/>
              </w:rPr>
              <w:t>Conforme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conventions k=ln(K/F), w=σ²T partout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Pricing européen Black-76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Eq.8 – Eq.11</w:t>
            </w:r>
          </w:p>
        </w:tc>
        <w:tc>
          <w:tcPr>
            <w:tcW w:type="dxa" w:w="2160"/>
          </w:tcPr>
          <w:p>
            <w:r>
              <w:rPr>
                <w:b/>
                <w:color w:val="3F8950"/>
                <w:sz w:val="18"/>
              </w:rPr>
              <w:t>Conforme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pricing/european.py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Pricing américain (arbre CRR)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Eq.12</w:t>
            </w:r>
          </w:p>
        </w:tc>
        <w:tc>
          <w:tcPr>
            <w:tcW w:type="dxa" w:w="2160"/>
          </w:tcPr>
          <w:p>
            <w:r>
              <w:rPr>
                <w:b/>
                <w:color w:val="3F8950"/>
                <w:sz w:val="18"/>
              </w:rPr>
              <w:t>Conforme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pricing/american.py (200 pas, greeks par nœuds)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Greeks analytiques Δ Γ ν Θ $Γ $ν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Eq.13 – Eq.18</w:t>
            </w:r>
          </w:p>
        </w:tc>
        <w:tc>
          <w:tcPr>
            <w:tcW w:type="dxa" w:w="2160"/>
          </w:tcPr>
          <w:p>
            <w:r>
              <w:rPr>
                <w:b/>
                <w:color w:val="3F8950"/>
                <w:sz w:val="18"/>
              </w:rPr>
              <w:t>Conforme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european.py + monétisation € (live.py)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P&amp;L par greeks (scénarios)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Eq.19</w:t>
            </w:r>
          </w:p>
        </w:tc>
        <w:tc>
          <w:tcPr>
            <w:tcW w:type="dxa" w:w="2160"/>
          </w:tcPr>
          <w:p>
            <w:r>
              <w:rPr>
                <w:b/>
                <w:color w:val="3F8950"/>
                <w:sz w:val="18"/>
              </w:rPr>
              <w:t>Conforme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risk/scenarios.py (+ repricing complet)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SVI &amp; no-arbitrage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Eq.20 – Eq.21</w:t>
            </w:r>
          </w:p>
        </w:tc>
        <w:tc>
          <w:tcPr>
            <w:tcW w:type="dxa" w:w="2160"/>
          </w:tcPr>
          <w:p>
            <w:r>
              <w:rPr>
                <w:b/>
                <w:color w:val="3F8950"/>
                <w:sz w:val="18"/>
              </w:rPr>
              <w:t>Conforme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surfaces/calibration.py (+ papillon)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Interpolation cross-maturité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Eq.22</w:t>
            </w:r>
          </w:p>
        </w:tc>
        <w:tc>
          <w:tcPr>
            <w:tcW w:type="dxa" w:w="2160"/>
          </w:tcPr>
          <w:p>
            <w:r>
              <w:rPr>
                <w:b/>
                <w:color w:val="3F8950"/>
                <w:sz w:val="18"/>
              </w:rPr>
              <w:t>Conforme (NOUVEAU 10/06)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calibration.py::interpolate_across_maturities → surface_interpolated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Variance de panier / dispersion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Eq.23</w:t>
            </w:r>
          </w:p>
        </w:tc>
        <w:tc>
          <w:tcPr>
            <w:tcW w:type="dxa" w:w="2160"/>
          </w:tcPr>
          <w:p>
            <w:r>
              <w:rPr>
                <w:b/>
                <w:color w:val="3F8950"/>
                <w:sz w:val="18"/>
              </w:rPr>
              <w:t>Conforme (NOUVEAU 10/06)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risk/dispersion.py (corrélation implicite) → dispersion_diagnostics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Z-score robuste MAD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Eq.24</w:t>
            </w:r>
          </w:p>
        </w:tc>
        <w:tc>
          <w:tcPr>
            <w:tcW w:type="dxa" w:w="2160"/>
          </w:tcPr>
          <w:p>
            <w:r>
              <w:rPr>
                <w:b/>
                <w:color w:val="3F8950"/>
                <w:sz w:val="18"/>
              </w:rPr>
              <w:t>Conforme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forwards/engine.py + qc/anomaly.py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Diagnostics spread &amp; mid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Eq.25</w:t>
            </w:r>
          </w:p>
        </w:tc>
        <w:tc>
          <w:tcPr>
            <w:tcW w:type="dxa" w:w="2160"/>
          </w:tcPr>
          <w:p>
            <w:r>
              <w:rPr>
                <w:b/>
                <w:color w:val="3F8950"/>
                <w:sz w:val="18"/>
              </w:rPr>
              <w:t>Conforme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live.py (is_usable, spread%)</w:t>
            </w:r>
          </w:p>
        </w:tc>
      </w:tr>
    </w:tbl>
    <w:p>
      <w:pPr>
        <w:spacing w:after="40"/>
      </w:pPr>
      <w:r>
        <w:rPr>
          <w:b w:val="0"/>
          <w:i w:val="0"/>
          <w:sz w:val="20"/>
        </w:rPr>
      </w:r>
    </w:p>
    <w:p>
      <w:pPr>
        <w:spacing w:after="120"/>
      </w:pPr>
      <w:r>
        <w:rPr>
          <w:b w:val="0"/>
          <w:i w:val="0"/>
          <w:sz w:val="20"/>
        </w:rPr>
        <w:t>Validation chiffrée du 10/06 (données réelles, hors-ligne) : Eq.22 — IV ATM interpolée aux 6 tenors cibles exacts d'ESTX50 avec tranches d'encadrement tracées ; Eq.23 — corrélation implicite SX5E ≈ 0.23–0.32 selon le tenor, spread de dispersion ≈ 15 points de vol (poids égaux) : ordres de grandeur économiquement cohérents.</w:t>
      </w:r>
    </w:p>
    <w:p>
      <w:r>
        <w:br w:type="page"/>
      </w:r>
    </w:p>
    <w:p>
      <w:pPr>
        <w:pStyle w:val="Heading1"/>
      </w:pPr>
      <w:r>
        <w:rPr>
          <w:color w:val="1A3A5C"/>
        </w:rPr>
        <w:t>5. Différences notables vs roadmap/spec — déviations assumées</w:t>
      </w:r>
    </w:p>
    <w:p>
      <w:pPr>
        <w:spacing w:after="120"/>
      </w:pPr>
      <w:r>
        <w:rPr>
          <w:b w:val="0"/>
          <w:i w:val="0"/>
          <w:sz w:val="21"/>
        </w:rPr>
        <w:t>Cette section répond directement à l'objectif de l'audit : ce qui, volontairement ou par contrainte externe, DIFFÈRE de la lettre de la roadmap ou de la spécification EURO STOXX 50, avec la justification et la voie de retour.</w:t>
      </w:r>
    </w:p>
    <w:p>
      <w:pPr>
        <w:pStyle w:val="Heading2"/>
      </w:pPr>
      <w:r>
        <w:rPr>
          <w:color w:val="2C5577"/>
        </w:rPr>
        <w:t>Grille de collecte réduite</w:t>
      </w:r>
    </w:p>
    <w:p>
      <w:pPr>
        <w:spacing w:after="40"/>
      </w:pPr>
      <w:r>
        <w:rPr>
          <w:b w:val="0"/>
          <w:i/>
          <w:color w:val="6A737D"/>
          <w:sz w:val="19"/>
        </w:rPr>
        <w:t>Demandé : Spec : 12 maturités (1j → 3 ans) × échelle ATM ± 10/20/30Δ (~7 strikes).</w:t>
      </w:r>
    </w:p>
    <w:p>
      <w:pPr>
        <w:spacing w:after="40"/>
      </w:pPr>
      <w:r>
        <w:rPr>
          <w:b w:val="0"/>
          <w:i w:val="0"/>
          <w:sz w:val="20"/>
        </w:rPr>
        <w:t>Réalisé : 7 tenors cœur (1m, 3m, 6m, 9m, 12m, 18m, 24m) × ATM ± 10/30Δ (5 strikes), call &amp; put (18m rajouté le 10/06 pour combler le trou 1an→2ans et affiner l'interpolation Eq.22).</w:t>
      </w:r>
    </w:p>
    <w:p>
      <w:pPr>
        <w:spacing w:after="120"/>
      </w:pPr>
      <w:r>
        <w:rPr>
          <w:b w:val="0"/>
          <w:i w:val="0"/>
          <w:color w:val="44546A"/>
          <w:sz w:val="20"/>
        </w:rPr>
        <w:t>Justification / réversibilité : Choix VALIDÉ (2026-06-10) : volume/temps de cycle maîtrisés (~20 min à froid pour 51 sous-jacents). Réversible par configuration seule (universe.yaml : target_tenors_days / delta_ladder — les défauts spec complets restent codés dans live.py).</w:t>
      </w:r>
    </w:p>
    <w:p>
      <w:pPr>
        <w:pStyle w:val="Heading2"/>
      </w:pPr>
      <w:r>
        <w:rPr>
          <w:color w:val="2C5577"/>
        </w:rPr>
        <w:t>Bourse d'options ≠ EUREX pour 3 composantes</w:t>
      </w:r>
    </w:p>
    <w:p>
      <w:pPr>
        <w:spacing w:after="40"/>
      </w:pPr>
      <w:r>
        <w:rPr>
          <w:b w:val="0"/>
          <w:i/>
          <w:color w:val="6A737D"/>
          <w:sz w:val="19"/>
        </w:rPr>
        <w:t>Demandé : Spec : options des composantes sur EUREX.</w:t>
      </w:r>
    </w:p>
    <w:p>
      <w:pPr>
        <w:spacing w:after="40"/>
      </w:pPr>
      <w:r>
        <w:rPr>
          <w:b w:val="0"/>
          <w:i w:val="0"/>
          <w:sz w:val="20"/>
        </w:rPr>
        <w:t>Réalisé : BBVA et IBE → MEFF (EUREX ne liste pas leurs options via IBKR ; BBVA n'a que 2 expiries) ; ARGX → BELFOX (6 expiries).</w:t>
      </w:r>
    </w:p>
    <w:p>
      <w:pPr>
        <w:spacing w:after="120"/>
      </w:pPr>
      <w:r>
        <w:rPr>
          <w:b w:val="0"/>
          <w:i w:val="0"/>
          <w:color w:val="44546A"/>
          <w:sz w:val="20"/>
        </w:rPr>
        <w:t>Justification / réversibilité : Vérifié en live le 10/06 (probes de diagnostic) : seules bourses disponibles. Champ option_exchange par sous-jacent dans universe.yaml. Documenté.</w:t>
      </w:r>
    </w:p>
    <w:p>
      <w:pPr>
        <w:pStyle w:val="Heading2"/>
      </w:pPr>
      <w:r>
        <w:rPr>
          <w:color w:val="2C5577"/>
        </w:rPr>
        <w:t>Nordea (NDA) sans données</w:t>
      </w:r>
    </w:p>
    <w:p>
      <w:pPr>
        <w:spacing w:after="40"/>
      </w:pPr>
      <w:r>
        <w:rPr>
          <w:b w:val="0"/>
          <w:i/>
          <w:color w:val="6A737D"/>
          <w:sz w:val="19"/>
        </w:rPr>
        <w:t>Demandé : Spec : les 50 composantes produisent spot/forward/IV/greeks.</w:t>
      </w:r>
    </w:p>
    <w:p>
      <w:pPr>
        <w:spacing w:after="40"/>
      </w:pPr>
      <w:r>
        <w:rPr>
          <w:b w:val="0"/>
          <w:i w:val="0"/>
          <w:sz w:val="20"/>
        </w:rPr>
        <w:t>Réalisé : Conid HEX correct (ticker IBKR « NDA FI ») mais aucune donnée : le compte paper n'a pas l'entitlement Nasdaq Nordic ; options uniquement sur OMS Stockholm en SEK.</w:t>
      </w:r>
    </w:p>
    <w:p>
      <w:pPr>
        <w:spacing w:after="120"/>
      </w:pPr>
      <w:r>
        <w:rPr>
          <w:b w:val="0"/>
          <w:i w:val="0"/>
          <w:color w:val="44546A"/>
          <w:sz w:val="20"/>
        </w:rPr>
        <w:t>Justification / réversibilité : Gardé dans l'univers (les 50 y sont) ; flagué « indisponible » par le QC coverage — exactement le traitement prévu par la spec (§3 : flaguer, ne pas inventer). Solution : souscription données Nasdaq Nordic (payante).</w:t>
      </w:r>
    </w:p>
    <w:p>
      <w:pPr>
        <w:pStyle w:val="Heading2"/>
      </w:pPr>
      <w:r>
        <w:rPr>
          <w:color w:val="2C5577"/>
        </w:rPr>
        <w:t>Poids de dispersion (Eq.23) égaux</w:t>
      </w:r>
    </w:p>
    <w:p>
      <w:pPr>
        <w:spacing w:after="40"/>
      </w:pPr>
      <w:r>
        <w:rPr>
          <w:b w:val="0"/>
          <w:i/>
          <w:color w:val="6A737D"/>
          <w:sz w:val="19"/>
        </w:rPr>
        <w:t>Demandé : Identité de variance avec poids w_i du panier/indice.</w:t>
      </w:r>
    </w:p>
    <w:p>
      <w:pPr>
        <w:spacing w:after="40"/>
      </w:pPr>
      <w:r>
        <w:rPr>
          <w:b w:val="0"/>
          <w:i w:val="0"/>
          <w:sz w:val="20"/>
        </w:rPr>
        <w:t>Réalisé : Poids égaux entre composantes disponibles (la pondération free-float STOXX n'est pas exposée par IBKR).</w:t>
      </w:r>
    </w:p>
    <w:p>
      <w:pPr>
        <w:spacing w:after="120"/>
      </w:pPr>
      <w:r>
        <w:rPr>
          <w:b w:val="0"/>
          <w:i w:val="0"/>
          <w:color w:val="44546A"/>
          <w:sz w:val="20"/>
        </w:rPr>
        <w:t>Justification / réversibilité : Biais documenté (grandes capitalisations sous-pondérées). Champ weight par sous-jacent déjà supporté par le code si une source de poids est fournie.</w:t>
      </w:r>
    </w:p>
    <w:p>
      <w:pPr>
        <w:pStyle w:val="Heading2"/>
      </w:pPr>
      <w:r>
        <w:rPr>
          <w:color w:val="2C5577"/>
        </w:rPr>
        <w:t>Taux sans courbe</w:t>
      </w:r>
    </w:p>
    <w:p>
      <w:pPr>
        <w:spacing w:after="40"/>
      </w:pPr>
      <w:r>
        <w:rPr>
          <w:b w:val="0"/>
          <w:i/>
          <w:color w:val="6A737D"/>
          <w:sz w:val="19"/>
        </w:rPr>
        <w:t>Demandé : Actualisation et carry avec taux adaptés.</w:t>
      </w:r>
    </w:p>
    <w:p>
      <w:pPr>
        <w:spacing w:after="40"/>
      </w:pPr>
      <w:r>
        <w:rPr>
          <w:b w:val="0"/>
          <w:i w:val="0"/>
          <w:sz w:val="20"/>
        </w:rPr>
        <w:t>Réalisé : Taux EUR constant 0.025 (configs/pricing.yaml) ; carry implicite dérivé du forward par parité.</w:t>
      </w:r>
    </w:p>
    <w:p>
      <w:pPr>
        <w:spacing w:after="120"/>
      </w:pPr>
      <w:r>
        <w:rPr>
          <w:b w:val="0"/>
          <w:i w:val="0"/>
          <w:color w:val="44546A"/>
          <w:sz w:val="20"/>
        </w:rPr>
        <w:t>Justification / réversibilité : Acceptable sur 0-2 ans en environnement de taux stable ; brancher une courbe ESTR serait l'étape suivante.</w:t>
      </w:r>
    </w:p>
    <w:p>
      <w:pPr>
        <w:pStyle w:val="Heading2"/>
      </w:pPr>
      <w:r>
        <w:rPr>
          <w:color w:val="2C5577"/>
        </w:rPr>
        <w:t>Authentification du gateway manuelle</w:t>
      </w:r>
    </w:p>
    <w:p>
      <w:pPr>
        <w:spacing w:after="40"/>
      </w:pPr>
      <w:r>
        <w:rPr>
          <w:b w:val="0"/>
          <w:i/>
          <w:color w:val="6A737D"/>
          <w:sz w:val="19"/>
        </w:rPr>
        <w:t>Demandé : Orchestration entièrement automatisée.</w:t>
      </w:r>
    </w:p>
    <w:p>
      <w:pPr>
        <w:spacing w:after="40"/>
      </w:pPr>
      <w:r>
        <w:rPr>
          <w:b w:val="0"/>
          <w:i w:val="0"/>
          <w:sz w:val="20"/>
        </w:rPr>
        <w:t>Réalisé : Scheduler système en place (Planificateur Windows : collecteur 09:05, EOD 17:45) et routage d'alertes codé — mais le login navigateur du gateway IBKR reste manuel (1×/session).</w:t>
      </w:r>
    </w:p>
    <w:p>
      <w:pPr>
        <w:spacing w:after="120"/>
      </w:pPr>
      <w:r>
        <w:rPr>
          <w:b w:val="0"/>
          <w:i w:val="0"/>
          <w:color w:val="44546A"/>
          <w:sz w:val="20"/>
        </w:rPr>
        <w:t>Justification / réversibilité : Contrainte IBKR pour les comptes retail/paper (OAuth headless = institutionnel). IBeam (Docker) documenté comme voie d'automatisation du re-login.</w:t>
      </w:r>
    </w:p>
    <w:p>
      <w:pPr>
        <w:pStyle w:val="Heading2"/>
      </w:pPr>
      <w:r>
        <w:rPr>
          <w:color w:val="2C5577"/>
        </w:rPr>
        <w:t>Tables liées au portefeuille vides</w:t>
      </w:r>
    </w:p>
    <w:p>
      <w:pPr>
        <w:spacing w:after="40"/>
      </w:pPr>
      <w:r>
        <w:rPr>
          <w:b w:val="0"/>
          <w:i/>
          <w:color w:val="6A737D"/>
          <w:sz w:val="19"/>
        </w:rPr>
        <w:t>Demandé : positions, position_risk, risk_aggregates, scenario_results alimentées.</w:t>
      </w:r>
    </w:p>
    <w:p>
      <w:pPr>
        <w:spacing w:after="40"/>
      </w:pPr>
      <w:r>
        <w:rPr>
          <w:b w:val="0"/>
          <w:i w:val="0"/>
          <w:sz w:val="20"/>
        </w:rPr>
        <w:t>Réalisé : Code branché et testé (portefeuille fictif en tests) mais compte paper sans position → tables vides.</w:t>
      </w:r>
    </w:p>
    <w:p>
      <w:pPr>
        <w:spacing w:after="120"/>
      </w:pPr>
      <w:r>
        <w:rPr>
          <w:b w:val="0"/>
          <w:i w:val="0"/>
          <w:color w:val="44546A"/>
          <w:sz w:val="20"/>
        </w:rPr>
        <w:t>Justification / réversibilité : Comportement conforme. Pour la démo : passer quelques ordres paper sur options EUREX en séance.</w:t>
      </w:r>
    </w:p>
    <w:p>
      <w:pPr>
        <w:pStyle w:val="Heading2"/>
      </w:pPr>
      <w:r>
        <w:rPr>
          <w:color w:val="2C5577"/>
        </w:rPr>
        <w:t>Fermetures du 10/06 à confirmer en conditions réelles</w:t>
      </w:r>
    </w:p>
    <w:p>
      <w:pPr>
        <w:spacing w:after="40"/>
      </w:pPr>
      <w:r>
        <w:rPr>
          <w:b w:val="0"/>
          <w:i/>
          <w:color w:val="6A737D"/>
          <w:sz w:val="19"/>
        </w:rPr>
        <w:t>Demandé : —</w:t>
      </w:r>
    </w:p>
    <w:p>
      <w:pPr>
        <w:spacing w:after="40"/>
      </w:pPr>
      <w:r>
        <w:rPr>
          <w:b w:val="0"/>
          <w:i w:val="0"/>
          <w:sz w:val="20"/>
        </w:rPr>
        <w:t>Réalisé : pricing_results, surface_interpolated, dispersion_diagnostics, positions, greeks broker, archivage des payloads, carry check, escalade et métriques : implémentés et testés (85 tests), validés hors-ligne sur le store du jour (ρ̄ SX5E 0.23-0.32, spread de dispersion ~15 pts ; handover_check 6/6 PASS).</w:t>
      </w:r>
    </w:p>
    <w:p>
      <w:pPr>
        <w:spacing w:after="120"/>
      </w:pPr>
      <w:r>
        <w:rPr>
          <w:b w:val="0"/>
          <w:i w:val="0"/>
          <w:color w:val="44546A"/>
          <w:sz w:val="20"/>
        </w:rPr>
        <w:t>Justification / réversibilité : Un cycle collecteur live doit encore constater les écritures end-to-end (action : run_collector --max-cycles 1 en séance).</w:t>
      </w:r>
    </w:p>
    <w:p>
      <w:r>
        <w:br w:type="page"/>
      </w:r>
    </w:p>
    <w:p>
      <w:pPr>
        <w:pStyle w:val="Heading1"/>
      </w:pPr>
      <w:r>
        <w:rPr>
          <w:color w:val="1A3A5C"/>
        </w:rPr>
        <w:t>6. Inventaires de preuves</w:t>
      </w:r>
    </w:p>
    <w:p>
      <w:pPr>
        <w:pStyle w:val="Heading2"/>
      </w:pPr>
      <w:r>
        <w:rPr>
          <w:color w:val="2C5577"/>
        </w:rPr>
        <w:t>6.1 Univers et collecte (séance du 10/06)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fill="dbe7f0"/>
          </w:tcPr>
          <w:p>
            <w:r>
              <w:rPr>
                <w:b/>
                <w:sz w:val="18"/>
              </w:rPr>
              <w:t>Indicateur</w:t>
            </w:r>
          </w:p>
        </w:tc>
        <w:tc>
          <w:tcPr>
            <w:tcW w:type="dxa" w:w="6768"/>
            <w:shd w:val="clear" w:fill="dbe7f0"/>
          </w:tcPr>
          <w:p>
            <w:r>
              <w:rPr>
                <w:b/>
                <w:sz w:val="18"/>
              </w:rPr>
              <w:t>Valeur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Sous-jacents configurés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51 (indice ESTX50 + 50 composantes STOXX, liste figée)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Sous-jacents collectés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50/51 — seul NDA en échec (entitlement, documenté)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Options en Parquet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2 424 (iv_points) · 2 474 instruments au master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Corrections du jour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SAN→SAN1 (Sanofi/SBF), BBVA/IBE→MEFF, ARGX→BELFOX, NDA→'NDA FI'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Durée de cycle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~20 min à froid (cache secdef, throttle 429) · ~30 s à chaud (6 valeurs)</w:t>
            </w:r>
          </w:p>
        </w:tc>
      </w:tr>
    </w:tbl>
    <w:p>
      <w:pPr>
        <w:pStyle w:val="Heading2"/>
      </w:pPr>
      <w:r>
        <w:rPr>
          <w:color w:val="2C5577"/>
        </w:rPr>
        <w:t>6.2 Tables Parquet du store</w:t>
      </w:r>
    </w:p>
    <w:p>
      <w:pPr>
        <w:spacing w:after="120"/>
      </w:pPr>
      <w:r>
        <w:rPr>
          <w:b w:val="0"/>
          <w:i w:val="0"/>
          <w:sz w:val="20"/>
        </w:rPr>
        <w:t>14 tables avec partitions au 10/06 : iv_points, forward_curve, surface_grid, surface_parameters, forward_diagnostics, iv_diagnostics, greeks_reconciliation, market_state_snapshots, qc_results, qc_triage, qc_anomalies, position_risk, risk_aggregates, scenario_results. 4 nouvelles tables branchées le 10/06 (écriture au prochain cycle live) : pricing_results, surface_interpolated, dispersion_diagnostics, positions.</w:t>
      </w:r>
    </w:p>
    <w:p>
      <w:pPr>
        <w:pStyle w:val="Heading2"/>
      </w:pPr>
      <w:r>
        <w:rPr>
          <w:color w:val="2C5577"/>
        </w:rPr>
        <w:t>6.3 Tests et front</w:t>
      </w:r>
    </w:p>
    <w:p>
      <w:pPr>
        <w:spacing w:after="120"/>
      </w:pPr>
      <w:r>
        <w:rPr>
          <w:b w:val="0"/>
          <w:i w:val="0"/>
          <w:sz w:val="20"/>
        </w:rPr>
        <w:t>85 tests automatisés (100 % verts), dont 29 nouveaux le 10/06 : écarts roadmap (Eq.22 interpolation/clamp ; Eq.23 variance panier + round-trip de corrélation + table de dispersion ; pricing round-trip européen/américain ; versioning du store), librairie quote_filters (7 cas), carry, réconciliation broker, routeur d'alertes, et callbacks du dashboard (overview, greeks, diagnostics IV, QC).</w:t>
      </w:r>
    </w:p>
    <w:p>
      <w:pPr>
        <w:spacing w:after="120"/>
      </w:pPr>
      <w:r>
        <w:rPr>
          <w:b w:val="0"/>
          <w:i w:val="0"/>
          <w:sz w:val="20"/>
        </w:rPr>
        <w:t>Dashboard refondu (12 pages) : Vue d'ensemble 51 sous-jacents (clic = sélection), Greeks bruts + € de toute la grille (sortie §5 de la spec), Surface (grille SVI + paramètres), diagnostics Forward/IV, QC (réconciliation greeks + triage), Collecteur, Pricing, Scénarios, Market Data, Instrument Master.</w:t>
      </w:r>
    </w:p>
    <w:p>
      <w:pPr>
        <w:pStyle w:val="Heading2"/>
      </w:pPr>
      <w:r>
        <w:rPr>
          <w:color w:val="2C5577"/>
        </w:rPr>
        <w:t>6.4 Actions recommandées (reste à faire)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152"/>
            <w:shd w:val="clear" w:fill="dbe7f0"/>
          </w:tcPr>
          <w:p>
            <w:r>
              <w:rPr>
                <w:b/>
                <w:sz w:val="18"/>
              </w:rPr>
              <w:t>Priorité</w:t>
            </w:r>
          </w:p>
        </w:tc>
        <w:tc>
          <w:tcPr>
            <w:tcW w:type="dxa" w:w="8784"/>
            <w:shd w:val="clear" w:fill="dbe7f0"/>
          </w:tcPr>
          <w:p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784"/>
          </w:tcPr>
          <w:p>
            <w:r>
              <w:rPr>
                <w:sz w:val="18"/>
              </w:rPr>
              <w:t>Valider en séance les écritures live du 10/06 (run_collector --max-cycles 1) : 4 nouvelles tables + greeks broker + payloads + nouveaux checks QC.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784"/>
          </w:tcPr>
          <w:p>
            <w:r>
              <w:rPr>
                <w:sz w:val="18"/>
              </w:rPr>
              <w:t>Passer 2-3 ordres paper sur options EUREX pour peupler positions/position_risk/risk_aggregates/scenario_results avant la démo.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784"/>
          </w:tcPr>
          <w:p>
            <w:r>
              <w:rPr>
                <w:sz w:val="18"/>
              </w:rPr>
              <w:t>Vérifier le front dans le navigateur après la refonte (Vue d'ensemble, Greeks, Surface).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784"/>
          </w:tcPr>
          <w:p>
            <w:r>
              <w:rPr>
                <w:sz w:val="18"/>
              </w:rPr>
              <w:t>Faire réaliser le parcours handover par un tiers (le script handover_check.py sert de canevas) ; option : source de poids STOXX pour la dispersion.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784"/>
          </w:tcPr>
          <w:p>
            <w:r>
              <w:rPr>
                <w:sz w:val="18"/>
              </w:rPr>
              <w:t>Optionnel : enregistrer le scheduler (scripts/schedule_collector.ps1) et renseigner webhook/SMTP pour activer la livraison d'alertes.</w:t>
            </w:r>
          </w:p>
        </w:tc>
      </w:tr>
    </w:tbl>
    <w:p>
      <w:pPr>
        <w:spacing w:after="40"/>
      </w:pPr>
      <w:r>
        <w:rPr>
          <w:b w:val="0"/>
          <w:i w:val="0"/>
          <w:sz w:val="20"/>
        </w:rPr>
      </w:r>
    </w:p>
    <w:p>
      <w:pPr>
        <w:spacing w:after="120"/>
      </w:pPr>
      <w:r>
        <w:rPr>
          <w:b w:val="0"/>
          <w:i/>
          <w:color w:val="6A737D"/>
          <w:sz w:val="17"/>
        </w:rPr>
        <w:t>Document généré par scripts/generate_audit_v5.py — régénérable à tout moment.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