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9E312" w14:textId="77777777" w:rsidR="00201B8F" w:rsidRDefault="00201B8F" w:rsidP="00201B8F">
      <w:pPr>
        <w:rPr>
          <w:rtl/>
        </w:rPr>
      </w:pPr>
    </w:p>
    <w:p w14:paraId="4FB91882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>الهدف الاستراتيجي</w:t>
      </w:r>
    </w:p>
    <w:p w14:paraId="0AEE0D72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>بناء نظام مالي مرن يدعم الدفع الإلكتروني (المنصة تستلم) والنقدي (الشريك يستلم) مع تحصيل العمولات بكفاءة.</w:t>
      </w:r>
    </w:p>
    <w:p w14:paraId="69867633" w14:textId="77777777" w:rsidR="00201B8F" w:rsidRDefault="00201B8F" w:rsidP="00201B8F">
      <w:pPr>
        <w:rPr>
          <w:rtl/>
        </w:rPr>
      </w:pPr>
    </w:p>
    <w:p w14:paraId="66716DAC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>المهام</w:t>
      </w:r>
    </w:p>
    <w:p w14:paraId="288955F3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>[</w:t>
      </w:r>
      <w:r>
        <w:t>x</w:t>
      </w:r>
      <w:r>
        <w:rPr>
          <w:rFonts w:cs="Arial"/>
          <w:rtl/>
        </w:rPr>
        <w:t>] التخطيط والتحليل</w:t>
      </w:r>
    </w:p>
    <w:p w14:paraId="37B3056C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تحليل المنطق المالي الحالي</w:t>
      </w:r>
    </w:p>
    <w:p w14:paraId="69E3D846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تصميم النموذج الهجين المرن</w:t>
      </w:r>
    </w:p>
    <w:p w14:paraId="64ECDFAD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إنشاء خطة تنفيذ شاملة</w:t>
      </w:r>
    </w:p>
    <w:p w14:paraId="6E4DDF6A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>[ ] المرحلة 1: البنية التحتية للقاعدة</w:t>
      </w:r>
    </w:p>
    <w:p w14:paraId="3C80D11B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إنشاء </w:t>
      </w:r>
      <w:r>
        <w:t>migration (20260101000001_hybrid_payment_model.sql)</w:t>
      </w:r>
    </w:p>
    <w:p w14:paraId="34E2CC5B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إضافة </w:t>
      </w:r>
      <w:proofErr w:type="spellStart"/>
      <w:r>
        <w:t>collection_status</w:t>
      </w:r>
      <w:proofErr w:type="spellEnd"/>
      <w:r>
        <w:rPr>
          <w:rFonts w:cs="Arial"/>
          <w:rtl/>
        </w:rPr>
        <w:t xml:space="preserve"> لجدول </w:t>
      </w:r>
      <w:r>
        <w:t>commissions</w:t>
      </w:r>
    </w:p>
    <w:p w14:paraId="7BC686D6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تحديث </w:t>
      </w:r>
      <w:proofErr w:type="spellStart"/>
      <w:r>
        <w:t>handle_booking_financials</w:t>
      </w:r>
      <w:proofErr w:type="spellEnd"/>
      <w:r>
        <w:rPr>
          <w:rFonts w:cs="Arial"/>
          <w:rtl/>
        </w:rPr>
        <w:t>() للتمييز بين الدفع الإلكتروني/النقدي</w:t>
      </w:r>
    </w:p>
    <w:p w14:paraId="0A2FC066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تسجيل اتجاه الديون الصحيح في </w:t>
      </w:r>
      <w:proofErr w:type="spellStart"/>
      <w:r>
        <w:t>booking_ledger</w:t>
      </w:r>
      <w:proofErr w:type="spellEnd"/>
    </w:p>
    <w:p w14:paraId="64F4B7E2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معالجة الإلغاءات لكلا السيناريوهات</w:t>
      </w:r>
    </w:p>
    <w:p w14:paraId="1B3F4719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>[ ] المرحلة 2: الواجهات والتقارير</w:t>
      </w:r>
    </w:p>
    <w:p w14:paraId="6597566F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لوحة تحكم العمولات (محصلة/معلقة)</w:t>
      </w:r>
    </w:p>
    <w:p w14:paraId="79DBBDAF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تقرير العمولات المحصلة للدفعات الإلكترونية</w:t>
      </w:r>
    </w:p>
    <w:p w14:paraId="7E08C8D9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تقرير العمولات المعلقة للشركاء</w:t>
      </w:r>
    </w:p>
    <w:p w14:paraId="320E2ACA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نظام الفوترة الشهرية</w:t>
      </w:r>
    </w:p>
    <w:p w14:paraId="648C47E5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>[ ] المرحلة 3: بوابة الدفع (مستقبلي)</w:t>
      </w:r>
    </w:p>
    <w:p w14:paraId="74AF0517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دمج بوابة دفع (</w:t>
      </w:r>
      <w:proofErr w:type="spellStart"/>
      <w:r>
        <w:t>HyperPay</w:t>
      </w:r>
      <w:proofErr w:type="spellEnd"/>
      <w:r>
        <w:t>/</w:t>
      </w:r>
      <w:proofErr w:type="spellStart"/>
      <w:r>
        <w:t>Moyasar</w:t>
      </w:r>
      <w:proofErr w:type="spellEnd"/>
      <w:r>
        <w:rPr>
          <w:rFonts w:cs="Arial"/>
          <w:rtl/>
        </w:rPr>
        <w:t>)</w:t>
      </w:r>
    </w:p>
    <w:p w14:paraId="79632895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واجهة دفع موحدة</w:t>
      </w:r>
    </w:p>
    <w:p w14:paraId="6C18C540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معالجة </w:t>
      </w:r>
      <w:r>
        <w:t>Webhooks</w:t>
      </w:r>
    </w:p>
    <w:p w14:paraId="0D542276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>[ ] المرحلة 4: التحسينات (مستقبلي)</w:t>
      </w:r>
    </w:p>
    <w:p w14:paraId="6FBAC63B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تحفيز الدفع الإلكتروني</w:t>
      </w:r>
    </w:p>
    <w:p w14:paraId="6B53BC91" w14:textId="77777777" w:rsidR="00201B8F" w:rsidRDefault="00201B8F" w:rsidP="00201B8F">
      <w:pPr>
        <w:rPr>
          <w:rtl/>
        </w:rPr>
      </w:pPr>
      <w:r>
        <w:rPr>
          <w:rFonts w:cs="Arial"/>
          <w:rtl/>
        </w:rPr>
        <w:t xml:space="preserve"> برنامج النقاط والمكافآت</w:t>
      </w:r>
    </w:p>
    <w:p w14:paraId="57E45E5C" w14:textId="0675FFB0" w:rsidR="00145720" w:rsidRDefault="00201B8F" w:rsidP="00201B8F">
      <w:r>
        <w:rPr>
          <w:rFonts w:cs="Arial"/>
          <w:rtl/>
        </w:rPr>
        <w:t xml:space="preserve"> تطبيق المحفظة الإلكترونية</w:t>
      </w:r>
    </w:p>
    <w:sectPr w:rsidR="00145720" w:rsidSect="00C44084">
      <w:pgSz w:w="11906" w:h="16838"/>
      <w:pgMar w:top="1134" w:right="1418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02"/>
    <w:rsid w:val="00042902"/>
    <w:rsid w:val="000E5DE8"/>
    <w:rsid w:val="00145720"/>
    <w:rsid w:val="00201B8F"/>
    <w:rsid w:val="002A0183"/>
    <w:rsid w:val="0038732C"/>
    <w:rsid w:val="004322D5"/>
    <w:rsid w:val="006472CC"/>
    <w:rsid w:val="006E6B6E"/>
    <w:rsid w:val="00BC523F"/>
    <w:rsid w:val="00C44084"/>
    <w:rsid w:val="00C6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66DD82C-3541-4707-862A-B8302CD0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Rafat Alparq</dc:creator>
  <cp:keywords/>
  <dc:description/>
  <cp:lastModifiedBy>Rafat Alparq</cp:lastModifiedBy>
  <cp:revision>3</cp:revision>
  <dcterms:created xsi:type="dcterms:W3CDTF">2026-01-01T19:53:00Z</dcterms:created>
  <dcterms:modified xsi:type="dcterms:W3CDTF">2026-01-01T20:26:00Z</dcterms:modified>
</cp:coreProperties>
</file>