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B2180">
      <w:pPr>
        <w:pStyle w:val="2"/>
        <w:widowControl/>
        <w:numPr>
          <w:ilvl w:val="0"/>
          <w:numId w:val="0"/>
        </w:numPr>
        <w:shd w:val="clear" w:fill="FFFFFF"/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000000"/>
          <w:kern w:val="44"/>
          <w:sz w:val="32"/>
          <w:szCs w:val="44"/>
          <w:lang w:bidi="ar-SA"/>
        </w:rPr>
        <w:t>一、</w:t>
      </w:r>
      <w:r>
        <w:rPr>
          <w:rFonts w:hint="eastAsia" w:ascii="Times New Roman" w:hAnsi="Times New Roman" w:eastAsia="黑体" w:cs="Times New Roman"/>
          <w:b w:val="0"/>
          <w:bCs w:val="0"/>
          <w:sz w:val="32"/>
          <w:szCs w:val="44"/>
        </w:rPr>
        <w:t>所用 AI 工具名称、版本或型号</w:t>
      </w:r>
    </w:p>
    <w:p w14:paraId="70D9490A">
      <w:pPr>
        <w:pStyle w:val="11"/>
        <w:widowControl/>
        <w:rPr>
          <w:rFonts w:hint="eastAsia" w:ascii="宋体" w:hAnsi="宋体" w:eastAsia="宋体" w:cs="宋体"/>
          <w:b w:val="0"/>
          <w:bCs/>
          <w:i w:val="0"/>
          <w:color w:val="0F1115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i w:val="0"/>
          <w:color w:val="0F1115"/>
          <w:sz w:val="24"/>
          <w:szCs w:val="24"/>
        </w:rPr>
        <w:t>本次参赛过程中使用的生成式人工智能工具主要包括：</w:t>
      </w:r>
    </w:p>
    <w:p w14:paraId="054072B3">
      <w:pPr>
        <w:pStyle w:val="11"/>
        <w:widowControl/>
        <w:rPr>
          <w:rFonts w:hint="eastAsia" w:ascii="宋体" w:hAnsi="宋体" w:eastAsia="宋体" w:cs="宋体"/>
          <w:b/>
          <w:bCs w:val="0"/>
          <w:i w:val="0"/>
          <w:color w:val="0F1115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i w:val="0"/>
          <w:color w:val="0F1115"/>
          <w:sz w:val="24"/>
          <w:szCs w:val="24"/>
        </w:rPr>
        <w:t>1. DeepSeek V4</w:t>
      </w:r>
    </w:p>
    <w:p w14:paraId="0517C74D">
      <w:pPr>
        <w:pStyle w:val="11"/>
        <w:widowControl/>
        <w:rPr>
          <w:rFonts w:hint="eastAsia" w:ascii="宋体" w:hAnsi="宋体" w:eastAsia="宋体" w:cs="宋体"/>
          <w:b w:val="0"/>
          <w:bCs/>
          <w:i w:val="0"/>
          <w:color w:val="0F1115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i w:val="0"/>
          <w:color w:val="0F1115"/>
          <w:sz w:val="24"/>
          <w:szCs w:val="24"/>
        </w:rPr>
        <w:t>主要用途：对已经完成技术定稿的论文文字进行中文学术表达润色、语句精简和连贯性优化。</w:t>
      </w:r>
    </w:p>
    <w:p w14:paraId="412A006B">
      <w:pPr>
        <w:numPr>
          <w:ilvl w:val="0"/>
          <w:numId w:val="0"/>
        </w:numPr>
        <w:spacing w:after="0" w:line="240" w:lineRule="auto"/>
      </w:pPr>
    </w:p>
    <w:p w14:paraId="462528A5">
      <w:pPr>
        <w:widowControl w:val="0"/>
        <w:spacing w:line="240" w:lineRule="auto"/>
        <w:ind w:left="0" w:leftChars="0"/>
        <w:jc w:val="both"/>
        <w:rPr>
          <w:rFonts w:hint="default" w:ascii="黑体" w:hAnsi="黑体" w:eastAsia="黑体" w:cs="黑体"/>
          <w:b w:val="0"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kern w:val="2"/>
          <w:sz w:val="32"/>
          <w:szCs w:val="32"/>
          <w:lang w:val="en-US" w:eastAsia="zh-CN" w:bidi="ar-SA"/>
        </w:rPr>
        <w:t>二、具体使用目的和环节</w:t>
      </w:r>
    </w:p>
    <w:p w14:paraId="76441E0A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</w:p>
    <w:p w14:paraId="60CC34E4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</w:p>
    <w:p w14:paraId="7845E5FE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（一）DeepSeek V4：论文文字润色</w:t>
      </w:r>
    </w:p>
    <w:p w14:paraId="08119689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在论文技术内容、公式和数值结果基本确定后，使用 DeepSeek V4 对部分中文表述进行润色。</w:t>
      </w:r>
    </w:p>
    <w:p w14:paraId="3C1FF7E2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主要包括：</w:t>
      </w:r>
    </w:p>
    <w:p w14:paraId="6017749C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1. 调整过于生硬或类似直译的句式；</w:t>
      </w:r>
    </w:p>
    <w:p w14:paraId="1F980A17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2. 精简重复表述；</w:t>
      </w:r>
    </w:p>
    <w:p w14:paraId="3E29ABDB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3. 改善段落之间的衔接；</w:t>
      </w:r>
    </w:p>
    <w:p w14:paraId="57A2576E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4. 在不改变原意的前提下提高学术表达的自然度和可读性。</w:t>
      </w:r>
    </w:p>
    <w:p w14:paraId="7D5D9B6F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润色过程中明确要求AI不得自行修改数学公式、参数、计算结果和技术结论。</w:t>
      </w:r>
    </w:p>
    <w:p w14:paraId="75B76C38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DeepSeek V4 提供的文字建议由参赛队逐句检查，并结合上下文人工选择、修改后再写入论文，不直接将 AI 回复整体复制作为论文正文。</w:t>
      </w:r>
    </w:p>
    <w:p w14:paraId="44C96CAA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</w:p>
    <w:p w14:paraId="649C9D83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</w:p>
    <w:p w14:paraId="6AA6771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三、主要提示方式与使用过程说明</w:t>
      </w:r>
      <w:bookmarkStart w:id="0" w:name="_GoBack"/>
      <w:bookmarkEnd w:id="0"/>
    </w:p>
    <w:p w14:paraId="2F97B00B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</w:p>
    <w:p w14:paraId="5A7F6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0" w:leftChars="0"/>
        <w:jc w:val="both"/>
        <w:textAlignment w:val="auto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【示例1：中文表达润色】</w:t>
      </w:r>
    </w:p>
    <w:p w14:paraId="1F6C25DD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 w:val="0"/>
          <w:kern w:val="2"/>
          <w:sz w:val="24"/>
          <w:szCs w:val="24"/>
          <w:lang w:val="en-US" w:eastAsia="zh-CN" w:bidi="ar-SA"/>
        </w:rPr>
        <w:t>用户任务</w:t>
      </w: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：在不修改模型含义、公式和数值的前提下，使该段文字更加自然、简洁，减少生硬的技术表达。</w:t>
      </w:r>
    </w:p>
    <w:p w14:paraId="0441FA80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 w:val="0"/>
          <w:kern w:val="2"/>
          <w:sz w:val="24"/>
          <w:szCs w:val="24"/>
          <w:lang w:val="en-US" w:eastAsia="zh-CN" w:bidi="ar-SA"/>
        </w:rPr>
        <w:t>AI辅助：DeepSeek V4 提供若干语句调整和替换建议。</w:t>
      </w: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/>
      </w:r>
    </w:p>
    <w:p w14:paraId="4227D834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 w:val="0"/>
          <w:kern w:val="2"/>
          <w:sz w:val="24"/>
          <w:szCs w:val="24"/>
          <w:lang w:val="en-US" w:eastAsia="zh-CN" w:bidi="ar-SA"/>
        </w:rPr>
        <w:t>人工处理</w:t>
      </w:r>
      <w:r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  <w:t>：参赛队结合上下文逐句判断，只采用其中适合的表达，并再次确认技术含义未发生改变。</w:t>
      </w:r>
    </w:p>
    <w:p w14:paraId="28552DF4">
      <w:pPr>
        <w:widowControl w:val="0"/>
        <w:spacing w:line="240" w:lineRule="auto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/>
          <w:kern w:val="2"/>
          <w:sz w:val="24"/>
          <w:szCs w:val="24"/>
          <w:lang w:val="en-US" w:eastAsia="zh-CN" w:bidi="ar-SA"/>
        </w:rPr>
      </w:pPr>
    </w:p>
    <w:p w14:paraId="1309DAD6">
      <w:pPr>
        <w:pStyle w:val="2"/>
        <w:widowControl/>
        <w:numPr>
          <w:ilvl w:val="0"/>
          <w:numId w:val="0"/>
        </w:numPr>
        <w:shd w:val="clear" w:fill="FFFFFF"/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cs="Times New Roman"/>
          <w:b w:val="0"/>
          <w:bCs w:val="0"/>
          <w:color w:val="000000"/>
          <w:kern w:val="44"/>
          <w:sz w:val="32"/>
          <w:szCs w:val="44"/>
          <w:lang w:val="en-US" w:eastAsia="zh-CN" w:bidi="ar-SA"/>
        </w:rPr>
        <w:t>四、AI辅助使用流程总结</w:t>
      </w:r>
      <w:r>
        <w:rPr>
          <w:rFonts w:hint="eastAsia" w:ascii="Times New Roman" w:hAnsi="Times New Roman" w:eastAsia="黑体" w:cs="Times New Roman"/>
          <w:b w:val="0"/>
          <w:bCs w:val="0"/>
          <w:color w:val="000000"/>
          <w:kern w:val="44"/>
          <w:sz w:val="32"/>
          <w:szCs w:val="44"/>
          <w:lang w:bidi="ar-SA"/>
        </w:rPr>
        <w:t/>
      </w: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/>
      </w:r>
    </w:p>
    <w:p w14:paraId="72A1B1B1">
      <w:pPr>
        <w:pStyle w:val="11"/>
        <w:widowControl/>
        <w:rPr>
          <w:rFonts w:hint="eastAsia"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  <w:t>本次 AI 工具主要用于论文文字润色，具体过程如下：</w:t>
      </w:r>
    </w:p>
    <w:p w14:paraId="203A2B83">
      <w:pPr>
        <w:pStyle w:val="11"/>
        <w:widowControl/>
        <w:rPr>
          <w:rFonts w:hint="default" w:asciiTheme="minorHAnsi" w:hAnsiTheme="minorHAnsi" w:eastAsiaTheme="minorEastAsia" w:cstheme="minorBidi"/>
          <w:b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  <w:t>在技术内容基本确定后，使用 DeepSeek V4 对部分中文表述进行润色，由参赛队人工决定最终文字。</w:t>
      </w:r>
    </w:p>
    <w:p w14:paraId="37A51F00">
      <w:pPr>
        <w:pStyle w:val="2"/>
        <w:widowControl/>
        <w:numPr>
          <w:ilvl w:val="0"/>
          <w:numId w:val="0"/>
        </w:numPr>
        <w:shd w:val="clear" w:fill="FFFFFF"/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</w:rPr>
      </w:pPr>
      <w:r>
        <w:rPr>
          <w:rFonts w:hint="eastAsia" w:cs="Times New Roman"/>
          <w:b w:val="0"/>
          <w:bCs w:val="0"/>
          <w:color w:val="000000"/>
          <w:kern w:val="44"/>
          <w:sz w:val="32"/>
          <w:szCs w:val="44"/>
          <w:lang w:val="en-US" w:eastAsia="zh-CN" w:bidi="ar-SA"/>
        </w:rPr>
        <w:t>五、最终声明</w:t>
      </w:r>
      <w:r>
        <w:rPr>
          <w:rFonts w:hint="eastAsia" w:ascii="Times New Roman" w:hAnsi="Times New Roman" w:eastAsia="黑体" w:cs="Times New Roman"/>
          <w:b w:val="0"/>
          <w:bCs w:val="0"/>
          <w:color w:val="000000"/>
          <w:kern w:val="44"/>
          <w:sz w:val="32"/>
          <w:szCs w:val="44"/>
          <w:lang w:bidi="ar-SA"/>
        </w:rPr>
        <w:t/>
      </w: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/>
      </w:r>
    </w:p>
    <w:p w14:paraId="30BCF40C">
      <w:pPr>
        <w:widowControl w:val="0"/>
        <w:spacing w:line="240" w:lineRule="auto"/>
        <w:ind w:left="0"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  <w:t>本参赛队确认，本次比赛过程中使用了 DeepSeek V4 生成式人工智能工具。</w:t>
      </w:r>
    </w:p>
    <w:p w14:paraId="75B109BC">
      <w:pPr>
        <w:widowControl w:val="0"/>
        <w:spacing w:line="240" w:lineRule="auto"/>
        <w:ind w:left="0"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  <w:t>DeepSeek V4 主要用于中文学术表达润色。</w:t>
      </w:r>
    </w:p>
    <w:p w14:paraId="181D5AEF">
      <w:pPr>
        <w:widowControl w:val="0"/>
        <w:spacing w:line="240" w:lineRule="auto"/>
        <w:ind w:left="0" w:leftChars="0" w:firstLine="480" w:firstLineChars="200"/>
        <w:jc w:val="both"/>
        <w:rPr>
          <w:rFonts w:asciiTheme="minorHAnsi" w:hAnsiTheme="minorHAnsi" w:eastAsiaTheme="minorEastAsia" w:cstheme="minorBidi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  <w:t>所有 AI 输出均经过人工检查和判断。AI 工具未被赋予自动决定模型路线、最终结果或比赛结论的权限。论文中的模型选择、主要计算结果、结果身份判断以及最终结论均由参赛队确认并承担责任。</w:t>
      </w:r>
    </w:p>
    <w:p w14:paraId="71C852BA">
      <w:pPr>
        <w:widowControl w:val="0"/>
        <w:spacing w:line="240" w:lineRule="auto"/>
        <w:ind w:left="0" w:leftChars="0"/>
        <w:jc w:val="both"/>
        <w:rPr>
          <w:rFonts w:asciiTheme="minorHAnsi" w:hAnsiTheme="minorHAnsi" w:eastAsiaTheme="minorEastAsia" w:cstheme="minorBidi"/>
          <w:b w:val="0"/>
          <w:bCs/>
          <w:kern w:val="2"/>
          <w:sz w:val="21"/>
          <w:szCs w:val="24"/>
          <w:lang w:val="en-US" w:eastAsia="zh-CN" w:bidi="ar-SA"/>
        </w:rPr>
      </w:pPr>
    </w:p>
    <w:p w14:paraId="678A5036">
      <w:pPr>
        <w:widowControl w:val="0"/>
        <w:spacing w:line="240" w:lineRule="auto"/>
        <w:ind w:left="0"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314B110">
      <w:pPr>
        <w:widowControl w:val="0"/>
        <w:spacing w:line="240" w:lineRule="auto"/>
        <w:ind w:left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DDBBC05">
      <w:pPr>
        <w:spacing w:line="24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http://www.wps.cn/officeDocument/2013/wpsCustomData" ns1:Ignorable="w14">
  <ns0:zoom ns0:percent="46"/>
  <ns0:embedSystemFonts/>
  <ns0:bordersDoNotSurroundHeader ns0:val="0"/>
  <ns0:bordersDoNotSurroundFooter ns0:val="0"/>
  <ns0:documentProtection ns0:enforcement="0"/>
  <ns0:defaultTabStop ns0:val="420"/>
  <ns0:drawingGridVerticalSpacing ns0:val="156"/>
  <ns0:displayHorizontalDrawingGridEvery ns0:val="1"/>
  <ns0:displayVerticalDrawingGridEvery ns0:val="1"/>
  <ns0:noPunctuationKerning ns0:val="1"/>
  <ns0:characterSpacingControl ns0:val="compressPunctuation"/>
  <ns0:compat>
    <ns0:spaceForUL/>
    <ns0:balanceSingleByteDoubleByteWidth/>
    <ns0:doNotLeaveBackslashAlone/>
    <ns0:ulTrailSpace/>
    <ns0:doNotExpandShiftReturn/>
    <ns0:adjustLineHeightInTable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IncludeSubdocsInStats/>
  <ns1:AlternateContent>
    <ns1:Choice Requires="wpsCustomData">
      <ns3:typoFeatureVersion val="0"/>
    </ns1:Choice>
  </ns1:AlternateContent>
</ns0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rPr>
      <w:sz w:val="24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ns0:Properties xmlns:ns0="http://schemas.openxmlformats.org/officeDocument/2006/extended-properties">
  <ns0:Template>Normal.dotm</ns0:Template>
  <ns0:Pages>4</ns0:Pages>
  <ns0:Words>1407</ns0:Words>
  <ns0:Characters>1550</ns0:Characters>
  <ns0:Lines>0</ns0:Lines>
  <ns0:Paragraphs>0</ns0:Paragraphs>
  <ns0:TotalTime>64</ns0:TotalTime>
  <ns0:ScaleCrop>false</ns0:ScaleCrop>
  <ns0:LinksUpToDate>false</ns0:LinksUpToDate>
  <ns0:CharactersWithSpaces>1589</ns0:CharactersWithSpaces>
  <ns0:Application>Office</ns0:Application>
  <ns0:DocSecurity>0</ns0:DocSecurity>
</ns0: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/>
  <dc:creator/>
  <ns0:lastModifiedBy/>
  <ns1:modified xsi:type="dcterms:W3CDTF"/>
</ns0:coreProperties>
</file>