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yqzckcrfmo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REST API Documentation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9ven7q4syo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endpoints and usage of the REST API. The API uses Bearer Token authentication and returns data in JSON format.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5bq19xksl9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Base URL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https://masters-api.cebulandmasters.com/api/astra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p3z8u51ivk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Authentication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API uses Bearer Token authentication. Include the token in the Authorization header of each request.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/>
      </w:pPr>
      <w:bookmarkStart w:colFirst="0" w:colLast="0" w:name="_eywmuulz1ix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Authorization: Bearer YOUR_ACCESS_TOKEN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Access Token: </w:t>
      </w:r>
      <w:r w:rsidDel="00000000" w:rsidR="00000000" w:rsidRPr="00000000">
        <w:rPr>
          <w:b w:val="1"/>
          <w:rtl w:val="0"/>
        </w:rPr>
        <w:t xml:space="preserve">1|C5MOIyBCgKo2EcDUhh9fcpFJOh7d71gYYE3msgsR1305a1e6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zzup93epqgl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Endpoints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https://masters-api.cebulandmasters.com/api/astra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JSON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"id": 2462,</w:t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"sap_id": "2462",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"company_code": "1000",</w:t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"company": "CLI",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"entity": "Cebu Landmasters, Inc.",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"sbu": null,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"location": "Cebu City",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"business_entity_code": "ASC01",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"project_name": "Astra Centre",</w:t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"building": "T01",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"phase": null,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"unit_number": "T119.015",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"floor_area": null,</w:t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"title_no": null,</w:t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"type": "RU",</w:t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"usage_one": null,</w:t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"house_model": "STUDIO",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"reservation_fee": "20000.00",</w:t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"equity": "411765.50",</w:t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"transfer_charges": "230274.93",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"vat": "333076.24",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"tcp_net_of_vat": "2775635.37",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"tcp": "3108711.61",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"contract_status": "FCNL",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"contract_number": "1000000016816",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"customer_account_no": "1000001212",</w:t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"buyer_name": "BELINDA ESTONINA",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"marital_status": "Single",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"address": "PAMAONG ST. COGON, TAGBILARAN CITY, BOHOL. 6300",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"contact_no": "411-0479",</w:t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"tin": "455-815-487-00000",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"country": "PH",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"nationality": "Filipino",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"engage_in_business": "Locally Employed",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"date_reserve": "20181213",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"date_cancelled": "20220210",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"reason_for_cancel": "Voluntary - N-Delq w/ Prsnl Rs",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"financing": null,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"monthly_equity": "18300.68",</w:t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"tc_amortized": "0.00",</w:t>
      </w:r>
    </w:p>
    <w:p w:rsidR="00000000" w:rsidDel="00000000" w:rsidP="00000000" w:rsidRDefault="00000000" w:rsidRPr="00000000" w14:paraId="0000003B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"total_monthly_amortization": "18300.68",</w:t>
      </w:r>
    </w:p>
    <w:p w:rsidR="00000000" w:rsidDel="00000000" w:rsidP="00000000" w:rsidRDefault="00000000" w:rsidRPr="00000000" w14:paraId="0000003C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"ma_start_date": "20181213",</w:t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"ma_end_date": "20220815",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"total_installments": "000",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"collections_4_30_24": "0.00",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"collections_2024": "0.00",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"total_collections": "0.00",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"equity_collection": "301961.22",</w:t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"uncleared_dit_collections": "0.00",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"outstanding_balance": "3108711.61",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"percentage_collection": "0.00",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"collection_category": null,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"invoices_2024": "0.00",</w:t>
      </w:r>
    </w:p>
    <w:p w:rsidR="00000000" w:rsidDel="00000000" w:rsidP="00000000" w:rsidRDefault="00000000" w:rsidRPr="00000000" w14:paraId="00000048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"invoices_monthly": "0.00",</w:t>
      </w:r>
    </w:p>
    <w:p w:rsidR="00000000" w:rsidDel="00000000" w:rsidP="00000000" w:rsidRDefault="00000000" w:rsidRPr="00000000" w14:paraId="00000049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"equity_invoices": "0.00",</w:t>
      </w:r>
    </w:p>
    <w:p w:rsidR="00000000" w:rsidDel="00000000" w:rsidP="00000000" w:rsidRDefault="00000000" w:rsidRPr="00000000" w14:paraId="0000004A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"total_invoices_2024": "0.00",</w:t>
      </w:r>
    </w:p>
    <w:p w:rsidR="00000000" w:rsidDel="00000000" w:rsidP="00000000" w:rsidRDefault="00000000" w:rsidRPr="00000000" w14:paraId="0000004B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"equity_balance": "-301961.22",</w:t>
      </w:r>
    </w:p>
    <w:p w:rsidR="00000000" w:rsidDel="00000000" w:rsidP="00000000" w:rsidRDefault="00000000" w:rsidRPr="00000000" w14:paraId="0000004C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"contract_receivable": "431765.50",</w:t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"account_status": "Current",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"ar_remarks": null,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"age_of_open_invoices": "0",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"delinquency_aging": "0-30 Days",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"delinquency_aging_30": "431765.50",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"delinquency_aging_60": "0.00",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"delinquency_aging_90": "0.00",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"delinquency_aging_120": "0.00",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"delinquency_aging_180": "0.00",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"delinquency_aging_360": "0.00",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"delinquency_aging_360_plus": "0.00",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"created_at": "2024-08-19T05:45:02.000000Z",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    "updated_at": "2024-08-19T05:45:02.000000Z"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Courier New" w:cs="Courier New" w:eastAsia="Courier New" w:hAnsi="Courier New"/>
          <w:color w:val="18803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188038"/>
          <w:sz w:val="18"/>
          <w:szCs w:val="18"/>
          <w:rtl w:val="0"/>
        </w:rPr>
        <w:t xml:space="preserve">    },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template covers basic REST API endpoints for sales information of ASTRA, one of CLI Mixed Property Development.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