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6C8B9" w14:textId="77777777" w:rsidR="00F77EC9" w:rsidRPr="00F77EC9" w:rsidRDefault="00F77EC9" w:rsidP="00F77EC9">
      <w:pPr>
        <w:pStyle w:val="Titre"/>
      </w:pPr>
      <w:r w:rsidRPr="00F77EC9">
        <w:t>Théories d'apprentissage et méthodes pédagogiques</w:t>
      </w:r>
    </w:p>
    <w:p w14:paraId="520EDB77" w14:textId="77777777" w:rsidR="00F77EC9" w:rsidRPr="00F77EC9" w:rsidRDefault="00F77EC9" w:rsidP="00F77EC9">
      <w:pPr>
        <w:pStyle w:val="Titre1"/>
        <w:rPr>
          <w:b/>
          <w:bCs/>
        </w:rPr>
      </w:pPr>
      <w:r w:rsidRPr="00F77EC9">
        <w:rPr>
          <w:b/>
          <w:bCs/>
        </w:rPr>
        <w:t>Besoin identifié</w:t>
      </w:r>
    </w:p>
    <w:p w14:paraId="1F06566C" w14:textId="77777777" w:rsidR="00F77EC9" w:rsidRPr="00F77EC9" w:rsidRDefault="00F77EC9" w:rsidP="00F77EC9">
      <w:r w:rsidRPr="00F77EC9">
        <w:t>Les enseignant·e·s sont confronté·e·s au défi de répondre efficacement à la diversité des profils d'apprentissage dans leurs classes. Cette diversité se manifeste à travers des rythmes d'apprentissage variés, des intérêts différents et des niveaux de compréhension hétérogènes parmi les étudiant·e·s. Le besoin est d'élaborer une approche pédagogique qui favorise l'individualisation des parcours d'apprentissage, renforce l'engagement des étudiant·e·s et stimule leur motivation, permettant ainsi à chaque individu d'exploiter au maximum son potentiel.</w:t>
      </w:r>
    </w:p>
    <w:p w14:paraId="512E402E" w14:textId="77777777" w:rsidR="00F77EC9" w:rsidRPr="00F77EC9" w:rsidRDefault="00F77EC9" w:rsidP="00F77EC9">
      <w:pPr>
        <w:pStyle w:val="Titre1"/>
      </w:pPr>
      <w:r w:rsidRPr="00F77EC9">
        <w:t>Problématique</w:t>
      </w:r>
    </w:p>
    <w:p w14:paraId="76610178" w14:textId="77777777" w:rsidR="00F77EC9" w:rsidRPr="00F77EC9" w:rsidRDefault="00F77EC9" w:rsidP="00F77EC9">
      <w:r w:rsidRPr="00F77EC9">
        <w:t>Comment peut-on développer une stratégie pédagogique qui permette l'individualisation des parcours d'apprentissage, renforce l'engagement et stimule la motivation des étudiant·e·s, face à la diversité des rythmes d'apprentissage, des intérêts et des niveaux de compréhension au sein d'une même classe ?</w:t>
      </w:r>
    </w:p>
    <w:p w14:paraId="028253DB" w14:textId="77777777" w:rsidR="00F77EC9" w:rsidRPr="00F77EC9" w:rsidRDefault="00F77EC9" w:rsidP="00F77EC9">
      <w:pPr>
        <w:pStyle w:val="Titre1"/>
      </w:pPr>
      <w:r w:rsidRPr="00F77EC9">
        <w:t>Proposition en réponse à la problématique</w:t>
      </w:r>
    </w:p>
    <w:p w14:paraId="5CD7A464" w14:textId="77777777" w:rsidR="00F77EC9" w:rsidRPr="00F77EC9" w:rsidRDefault="00F77EC9" w:rsidP="00F77EC9">
      <w:r w:rsidRPr="00F77EC9">
        <w:t>En réponse à cette problématique, l'activité basée sur l'immersion narrative, une « histoire dont vous êtes le héros », est proposée comme activité pédagogique. Cette approche vise à transformer l'apprentissage en une expérience individualisante, motivante et autonome, qui pourrait répondre aux besoins identifiés.</w:t>
      </w:r>
    </w:p>
    <w:p w14:paraId="57CA7422" w14:textId="77777777" w:rsidR="00F77EC9" w:rsidRPr="00F77EC9" w:rsidRDefault="00F77EC9" w:rsidP="00F77EC9"/>
    <w:p w14:paraId="0CD62B19" w14:textId="77777777" w:rsidR="00F77EC9" w:rsidRPr="00F77EC9" w:rsidRDefault="00000000" w:rsidP="00F77EC9">
      <w:r>
        <w:rPr>
          <w:noProof/>
        </w:rPr>
      </w:r>
      <w:r>
        <w:rPr>
          <w:noProof/>
        </w:rPr>
        <w:pict w14:anchorId="45E28175">
          <v:rect id="_x0000_i1029" alt="" style="width:453.6pt;height:.05pt;mso-width-percent:0;mso-height-percent:0;mso-width-percent:0;mso-height-percent:0" o:hralign="center" o:hrstd="t" o:hr="t" fillcolor="#a0a0a0" stroked="f"/>
        </w:pict>
      </w:r>
    </w:p>
    <w:p w14:paraId="0F402365" w14:textId="77777777" w:rsidR="00F77EC9" w:rsidRPr="00F77EC9" w:rsidRDefault="00F77EC9" w:rsidP="00F77EC9"/>
    <w:p w14:paraId="2A9A8DD8" w14:textId="77777777" w:rsidR="00F77EC9" w:rsidRPr="00F77EC9" w:rsidRDefault="00F77EC9" w:rsidP="00F77EC9">
      <w:pPr>
        <w:pStyle w:val="Titre1"/>
      </w:pPr>
      <w:r w:rsidRPr="00F77EC9">
        <w:t>Théories d'apprentissage</w:t>
      </w:r>
    </w:p>
    <w:p w14:paraId="06405B22" w14:textId="77777777" w:rsidR="00F77EC9" w:rsidRDefault="00F77EC9" w:rsidP="00F77EC9">
      <w:r w:rsidRPr="00F77EC9">
        <w:t>Les Livres Dont Vous Êtes le Héros (LDVELH) et l'immersion narrative s'inscrivent dans différentes théories d'apprentissage, dont le behaviorisme et le socio-constructivisme.</w:t>
      </w:r>
    </w:p>
    <w:p w14:paraId="4784C892" w14:textId="77777777" w:rsidR="00F77EC9" w:rsidRPr="00F77EC9" w:rsidRDefault="00F77EC9" w:rsidP="00F77EC9"/>
    <w:p w14:paraId="6DF4DBA6" w14:textId="77777777" w:rsidR="00F77EC9" w:rsidRPr="00F77EC9" w:rsidRDefault="00F77EC9" w:rsidP="00F77EC9">
      <w:pPr>
        <w:pStyle w:val="Titre2"/>
      </w:pPr>
      <w:hyperlink r:id="rId5" w:anchor="behaviorisme" w:history="1">
        <w:r w:rsidRPr="00F77EC9">
          <w:rPr>
            <w:rStyle w:val="Lienhypertexte"/>
            <w:b/>
            <w:bCs/>
          </w:rPr>
          <w:t>HDVELH et behaviorisme</w:t>
        </w:r>
        <w:r w:rsidRPr="00F77EC9">
          <w:rPr>
            <w:rStyle w:val="Lienhypertexte"/>
            <w:b/>
            <w:bCs/>
          </w:rPr>
          <w:br/>
        </w:r>
      </w:hyperlink>
    </w:p>
    <w:p w14:paraId="659B6743" w14:textId="77777777" w:rsidR="00F77EC9" w:rsidRDefault="00F77EC9" w:rsidP="00F77EC9">
      <w:r w:rsidRPr="00F77EC9">
        <w:t xml:space="preserve">Le behaviorisme, fondé par des psychologues tels que John B. Watson et B.F. Skinner, se concentre sur les comportements observables et sur l'idée que tout comportement est appris à partir de l'environnement. Dans le contexte des HDVELH, cette théorie se manifeste à travers le système de récompenses et de conséquences lié aux choix des lecteurs. Par exemple, un choix qui mène à un succès dans l'histoire peut être vu </w:t>
      </w:r>
      <w:r w:rsidRPr="00F77EC9">
        <w:lastRenderedPageBreak/>
        <w:t>comme une récompense (renforcement positif), tandis qu'un choix menant à une issue négative agit comme une punition (renforcement négatif), encourageant ainsi l'apprenant à modifier son comportement dans le cadre du jeu.</w:t>
      </w:r>
    </w:p>
    <w:p w14:paraId="6A097642" w14:textId="77777777" w:rsidR="009B35A9" w:rsidRDefault="009B35A9" w:rsidP="00F77EC9"/>
    <w:p w14:paraId="2B3DA29C" w14:textId="77777777" w:rsidR="009B35A9" w:rsidRPr="009B35A9" w:rsidRDefault="009B35A9" w:rsidP="009B35A9">
      <w:r w:rsidRPr="009B35A9">
        <w:rPr>
          <w:b/>
          <w:bCs/>
        </w:rPr>
        <w:t>Principe behavioriste</w:t>
      </w:r>
      <w:r w:rsidRPr="009B35A9">
        <w:t xml:space="preserve"> : Renforcement positif à travers les récompenses pour encourager des comportements spécifiques.</w:t>
      </w:r>
    </w:p>
    <w:p w14:paraId="76941329" w14:textId="77777777" w:rsidR="009B35A9" w:rsidRPr="009B35A9" w:rsidRDefault="009B35A9" w:rsidP="009B35A9">
      <w:r w:rsidRPr="009B35A9">
        <w:rPr>
          <w:b/>
          <w:bCs/>
        </w:rPr>
        <w:t>Application dans une HDVELH</w:t>
      </w:r>
      <w:r w:rsidRPr="009B35A9">
        <w:t xml:space="preserve"> : Imaginons un HDVELH centré sur l'apprentissage des bases de la programmation. Dans ce scénario, les apprenants sont confrontés à des défis de codage pour progresser dans l'histoire. Chaque fois qu'un apprenant résout correctement un problème de programmation (comportement ciblé), il reçoit des points de compétence qui lui permettent de débloquer des outils ou des compétences supplémentaires dans l'histoire (renforcement positif). Si l'apprenant échoue, il est dirigé vers des ressources supplémentaires ou des indices (feedback constructif), mais peut aussi perdre des points, représentant une forme de renforcement négatif qui motive la correction et l'amélioration de la performance.</w:t>
      </w:r>
    </w:p>
    <w:p w14:paraId="1D94C9BC" w14:textId="77777777" w:rsidR="009B35A9" w:rsidRDefault="009B35A9" w:rsidP="00F77EC9"/>
    <w:p w14:paraId="082EBE64" w14:textId="77777777" w:rsidR="00F77EC9" w:rsidRPr="00F77EC9" w:rsidRDefault="00F77EC9" w:rsidP="00F77EC9"/>
    <w:p w14:paraId="15D56E34" w14:textId="77777777" w:rsidR="00F77EC9" w:rsidRPr="00F77EC9" w:rsidRDefault="00000000" w:rsidP="00F77EC9">
      <w:pPr>
        <w:pStyle w:val="Titre2"/>
      </w:pPr>
      <w:hyperlink r:id="rId6" w:anchor="constructivisme" w:history="1">
        <w:r w:rsidR="00F77EC9" w:rsidRPr="00F77EC9">
          <w:rPr>
            <w:rStyle w:val="Lienhypertexte"/>
            <w:b/>
            <w:bCs/>
          </w:rPr>
          <w:t>HDVELH et socio-constructivisme</w:t>
        </w:r>
        <w:r w:rsidR="00F77EC9" w:rsidRPr="00F77EC9">
          <w:rPr>
            <w:rStyle w:val="Lienhypertexte"/>
            <w:b/>
            <w:bCs/>
          </w:rPr>
          <w:br/>
        </w:r>
      </w:hyperlink>
    </w:p>
    <w:p w14:paraId="37F173D8" w14:textId="77777777" w:rsidR="00F77EC9" w:rsidRDefault="00F77EC9" w:rsidP="00F77EC9">
      <w:pPr>
        <w:rPr>
          <w:rStyle w:val="Lienhypertexte"/>
        </w:rPr>
      </w:pPr>
      <w:r w:rsidRPr="00F77EC9">
        <w:t xml:space="preserve">D'autre part, le socio-constructivisme, théorisé par Lev Vygotsky, souligne l'importance des interactions sociales dans le processus d'apprentissage et considère que la connaissance est construite au sein d'une communauté. Les HDVELH peuvent également s'inscrire dans cette théorie lorsqu'ils sont utilisés comme outil de travail collaboratif. Par exemple, lorsqu'un groupe d'étudiants explore ensemble un HDVELH, discute des choix à faire et construit ensemble le récit en fonction de ces décisions. Cette collaboration permet de construire des connaissances collectivement, chaque membre du groupe apportant sa perspective et son interprétation, ce qui est au cœur du socio-constructivisme. </w:t>
      </w:r>
      <w:hyperlink r:id="rId7" w:tgtFrame="_blank" w:history="1">
        <w:r w:rsidRPr="00F77EC9">
          <w:rPr>
            <w:rStyle w:val="Lienhypertexte"/>
          </w:rPr>
          <w:t>Pour aller plus loin</w:t>
        </w:r>
      </w:hyperlink>
    </w:p>
    <w:p w14:paraId="7FEB7FEC" w14:textId="77777777" w:rsidR="009B35A9" w:rsidRDefault="009B35A9" w:rsidP="00F77EC9">
      <w:pPr>
        <w:rPr>
          <w:rStyle w:val="Lienhypertexte"/>
        </w:rPr>
      </w:pPr>
    </w:p>
    <w:p w14:paraId="6F687806" w14:textId="77777777" w:rsidR="009B35A9" w:rsidRPr="009B35A9" w:rsidRDefault="009B35A9" w:rsidP="009B35A9">
      <w:r w:rsidRPr="009B35A9">
        <w:rPr>
          <w:b/>
          <w:bCs/>
        </w:rPr>
        <w:t>Application dans une HDVELH</w:t>
      </w:r>
      <w:r w:rsidRPr="009B35A9">
        <w:t xml:space="preserve"> : Imaginons un HDVELH conçu pour sensibiliser à la protection de l'environnement, où les apprenants incarnent des membres d'une équipe de scientifiques et d'activistes environnementaux confrontés à un scénario de crise écologique mondiale. Le jeu commence par la découverte d'un écosystème particulièrement touché par la pollution et la surconsommation des ressources.</w:t>
      </w:r>
    </w:p>
    <w:p w14:paraId="15D1843B" w14:textId="77777777" w:rsidR="009B35A9" w:rsidRPr="009B35A9" w:rsidRDefault="009B35A9" w:rsidP="009B35A9">
      <w:r w:rsidRPr="009B35A9">
        <w:t>Dans ce scénario, les apprenants doivent collaborer pour prendre des décisions impactant la survie de l'écosystème. Ils sont confrontés à des choix difficiles, comme opter pour des mesures de conservation strictes qui pourraient affecter les populations locales ou trouver des alternatives durables qui nécessitent des investissements et du temps. Pour progresser dans l'histoire et atteindre des fins positives, les groupes doivent rechercher des informations, partager des connaissances sur les écosystèmes, les impacts humains sur l'environnement, et débattre pour décider des meilleures actions à entreprendre.</w:t>
      </w:r>
    </w:p>
    <w:p w14:paraId="21CA7D43" w14:textId="77777777" w:rsidR="009B35A9" w:rsidRPr="009B35A9" w:rsidRDefault="009B35A9" w:rsidP="009B35A9">
      <w:r w:rsidRPr="009B35A9">
        <w:t>Cette activité HDVELH encourage non seulement les apprenants à appliquer des connaissances scientifiques dans des situations concrètes mais aussi à développer des compétences clés comme la pensée critique, la résolution de problèmes, la communication et la collaboration. En travaillant ensemble, ils construisent une compréhension plus riche et nuancée des enjeux environnementaux, reflétant le principe socio-constructiviste que la connaissance est co-construite socialement.</w:t>
      </w:r>
    </w:p>
    <w:p w14:paraId="70344529" w14:textId="77777777" w:rsidR="009B35A9" w:rsidRPr="009B35A9" w:rsidRDefault="009B35A9" w:rsidP="009B35A9">
      <w:r w:rsidRPr="009B35A9">
        <w:rPr>
          <w:b/>
          <w:bCs/>
        </w:rPr>
        <w:t>Points Clés :</w:t>
      </w:r>
      <w:r w:rsidRPr="009B35A9">
        <w:t> </w:t>
      </w:r>
    </w:p>
    <w:p w14:paraId="204E1D39" w14:textId="77777777" w:rsidR="009B35A9" w:rsidRPr="009B35A9" w:rsidRDefault="009B35A9" w:rsidP="009B35A9">
      <w:pPr>
        <w:numPr>
          <w:ilvl w:val="0"/>
          <w:numId w:val="3"/>
        </w:numPr>
      </w:pPr>
      <w:r w:rsidRPr="009B35A9">
        <w:t>Recherche collaborative : Les apprenants doivent chercher ensemble des informations et des études de cas réelles pour étayer leurs décisions, favorisant l'apprentissage actif et la construction commune de connaissances.</w:t>
      </w:r>
    </w:p>
    <w:p w14:paraId="6FC3D9C3" w14:textId="77777777" w:rsidR="009B35A9" w:rsidRPr="009B35A9" w:rsidRDefault="009B35A9" w:rsidP="009B35A9">
      <w:pPr>
        <w:numPr>
          <w:ilvl w:val="0"/>
          <w:numId w:val="3"/>
        </w:numPr>
      </w:pPr>
      <w:r w:rsidRPr="009B35A9">
        <w:t>Débat et négociation : Les discussions pour atteindre un consensus sur les actions à entreprendre stimulent l'engagement et le développement des compétences sociales et émotionnelles.</w:t>
      </w:r>
    </w:p>
    <w:p w14:paraId="478607AC" w14:textId="77777777" w:rsidR="009B35A9" w:rsidRPr="009B35A9" w:rsidRDefault="009B35A9" w:rsidP="009B35A9">
      <w:pPr>
        <w:numPr>
          <w:ilvl w:val="0"/>
          <w:numId w:val="3"/>
        </w:numPr>
      </w:pPr>
      <w:r w:rsidRPr="009B35A9">
        <w:t>Réflexion collective : Après chaque décision importante, les apprenants sont invités à réfléchir sur les conséquences de leurs choix, favorisant ainsi la métacognition et la compréhension profonde des concepts environnementaux.</w:t>
      </w:r>
    </w:p>
    <w:p w14:paraId="37A4A413" w14:textId="77777777" w:rsidR="009B35A9" w:rsidRPr="00F77EC9" w:rsidRDefault="009B35A9" w:rsidP="00F77EC9"/>
    <w:p w14:paraId="44F5ECBA" w14:textId="77777777" w:rsidR="00F77EC9" w:rsidRPr="00F77EC9" w:rsidRDefault="00F77EC9" w:rsidP="00F77EC9"/>
    <w:p w14:paraId="29876B72" w14:textId="77777777" w:rsidR="00F77EC9" w:rsidRPr="00F77EC9" w:rsidRDefault="009465F6" w:rsidP="00F77EC9">
      <w:r>
        <w:rPr>
          <w:noProof/>
        </w:rPr>
        <w:pict w14:anchorId="1D8D4364">
          <v:rect id="_x0000_i1028" alt="" style="width:453.6pt;height:.05pt;mso-width-percent:0;mso-height-percent:0;mso-width-percent:0;mso-height-percent:0" o:hralign="center" o:hrstd="t" o:hr="t" fillcolor="#a0a0a0" stroked="f"/>
        </w:pict>
      </w:r>
    </w:p>
    <w:p w14:paraId="4B31C004" w14:textId="77777777" w:rsidR="00F77EC9" w:rsidRPr="00F77EC9" w:rsidRDefault="00F77EC9" w:rsidP="00F77EC9"/>
    <w:p w14:paraId="4EA03DDB" w14:textId="77777777" w:rsidR="00F77EC9" w:rsidRPr="00F77EC9" w:rsidRDefault="00F77EC9" w:rsidP="00F77EC9">
      <w:pPr>
        <w:pStyle w:val="Titre1"/>
      </w:pPr>
      <w:r w:rsidRPr="00F77EC9">
        <w:t>Méthodes pédagogiques</w:t>
      </w:r>
    </w:p>
    <w:p w14:paraId="7471E3AE" w14:textId="77777777" w:rsidR="00F77EC9" w:rsidRPr="00F77EC9" w:rsidRDefault="00F77EC9" w:rsidP="00F77EC9">
      <w:r w:rsidRPr="00F77EC9">
        <w:t>Les Livres Dont Vous Êtes le Héros (HDVELH) intègrent naturellement des méthodes pédagogiques actives et expérientielles. Ces approches, centrées sur l'apprenant, favorisent une implication directe dans le processus d'apprentissage, encourageant la réflexion, l'expérimentation et l'interaction.</w:t>
      </w:r>
    </w:p>
    <w:p w14:paraId="50388458" w14:textId="77777777" w:rsidR="00F77EC9" w:rsidRPr="00F77EC9" w:rsidRDefault="00000000" w:rsidP="00F77EC9">
      <w:pPr>
        <w:pStyle w:val="Titre2"/>
      </w:pPr>
      <w:hyperlink r:id="rId8" w:anchor="active" w:history="1">
        <w:r w:rsidR="00F77EC9" w:rsidRPr="00F77EC9">
          <w:rPr>
            <w:rStyle w:val="Lienhypertexte"/>
            <w:b/>
            <w:bCs/>
          </w:rPr>
          <w:t>Pédagogies actives</w:t>
        </w:r>
        <w:r w:rsidR="00F77EC9" w:rsidRPr="00F77EC9">
          <w:rPr>
            <w:rStyle w:val="Lienhypertexte"/>
            <w:b/>
            <w:bCs/>
          </w:rPr>
          <w:br/>
        </w:r>
      </w:hyperlink>
    </w:p>
    <w:p w14:paraId="233A00A8" w14:textId="77777777" w:rsidR="00F77EC9" w:rsidRPr="00F77EC9" w:rsidRDefault="00F77EC9" w:rsidP="00F77EC9">
      <w:r w:rsidRPr="00F77EC9">
        <w:t>Les HDVELH placent les apprenants dans des situations où ils doivent prendre des décisions actives qui influenceront le cours de l'histoire. Cette approche active les engage dans leur apprentissage de manière concrète, les forçant à appliquer les connaissances et compétences acquises pour progresser dans l'histoire. Les choix qu'ils font et les conséquences de ces choix reflètent le principe d'apprentissage actif, où l'apprenant est au centre de son éducation, participant activement à la construction de son savoir.</w:t>
      </w:r>
    </w:p>
    <w:p w14:paraId="0337FAF6" w14:textId="77777777" w:rsidR="00F77EC9" w:rsidRPr="00F77EC9" w:rsidRDefault="00F77EC9" w:rsidP="00F77EC9"/>
    <w:p w14:paraId="15A35F40" w14:textId="77777777" w:rsidR="00F77EC9" w:rsidRPr="00F77EC9" w:rsidRDefault="00000000" w:rsidP="00F77EC9">
      <w:hyperlink r:id="rId9" w:tgtFrame="_blank" w:history="1">
        <w:r w:rsidR="00F77EC9" w:rsidRPr="00F77EC9">
          <w:rPr>
            <w:rStyle w:val="Lienhypertexte"/>
          </w:rPr>
          <w:t>Pour aller plus loin</w:t>
        </w:r>
      </w:hyperlink>
    </w:p>
    <w:p w14:paraId="3789D05A" w14:textId="77777777" w:rsidR="00F77EC9" w:rsidRPr="00F77EC9" w:rsidRDefault="00000000" w:rsidP="00F77EC9">
      <w:pPr>
        <w:pStyle w:val="Titre2"/>
      </w:pPr>
      <w:hyperlink r:id="rId10" w:anchor="expe" w:history="1">
        <w:r w:rsidR="00F77EC9" w:rsidRPr="00F77EC9">
          <w:rPr>
            <w:rStyle w:val="Lienhypertexte"/>
            <w:b/>
            <w:bCs/>
          </w:rPr>
          <w:t>Apprentissage expérientiel</w:t>
        </w:r>
        <w:r w:rsidR="00F77EC9" w:rsidRPr="00F77EC9">
          <w:rPr>
            <w:rStyle w:val="Lienhypertexte"/>
            <w:b/>
            <w:bCs/>
          </w:rPr>
          <w:br/>
        </w:r>
      </w:hyperlink>
    </w:p>
    <w:p w14:paraId="3D0ADCB8" w14:textId="77777777" w:rsidR="00F77EC9" w:rsidRPr="00F77EC9" w:rsidRDefault="00F77EC9" w:rsidP="00F77EC9">
      <w:r w:rsidRPr="00F77EC9">
        <w:t>L'apprentissage expérientiel, théorisé par David Kolb, est fondé sur l'idée que la meilleure façon d'apprendre est à travers l'expérience. Les HDVELH incarnent cette notion en plongeant les apprenants dans des scénarios fictifs où ils doivent résoudre des problèmes, faire des choix moraux ou stratégiques, et en vivre les conséquences, souvent de manière itérative. Cette méthode favorise l'apprentissage par l'essai et l'erreur et permet aux apprenants de relier les concepts théoriques à des situations pratiques, renforçant ainsi leur compréhension et rétention de l'information.</w:t>
      </w:r>
    </w:p>
    <w:p w14:paraId="64C25862" w14:textId="77777777" w:rsidR="00F77EC9" w:rsidRPr="00F77EC9" w:rsidRDefault="00F77EC9" w:rsidP="00F77EC9"/>
    <w:p w14:paraId="0EC583C4" w14:textId="77777777" w:rsidR="00F77EC9" w:rsidRPr="00F77EC9" w:rsidRDefault="00000000" w:rsidP="00F77EC9">
      <w:hyperlink r:id="rId11" w:tgtFrame="_blank" w:history="1">
        <w:r w:rsidR="00F77EC9" w:rsidRPr="00F77EC9">
          <w:rPr>
            <w:rStyle w:val="Lienhypertexte"/>
          </w:rPr>
          <w:t>Pour aller plus loin</w:t>
        </w:r>
      </w:hyperlink>
    </w:p>
    <w:p w14:paraId="4A5CB9B7" w14:textId="77777777" w:rsidR="00F77EC9" w:rsidRPr="00F77EC9" w:rsidRDefault="00F77EC9" w:rsidP="00F77EC9"/>
    <w:p w14:paraId="624D6E35" w14:textId="77777777" w:rsidR="00F77EC9" w:rsidRPr="00F77EC9" w:rsidRDefault="009465F6" w:rsidP="00F77EC9">
      <w:r>
        <w:rPr>
          <w:noProof/>
        </w:rPr>
        <w:pict w14:anchorId="4F5F1DA8">
          <v:rect id="_x0000_i1027" alt="" style="width:453.6pt;height:.05pt;mso-width-percent:0;mso-height-percent:0;mso-width-percent:0;mso-height-percent:0" o:hralign="center" o:hrstd="t" o:hr="t" fillcolor="#a0a0a0" stroked="f"/>
        </w:pict>
      </w:r>
    </w:p>
    <w:p w14:paraId="4F89C118" w14:textId="77777777" w:rsidR="00F77EC9" w:rsidRPr="00F77EC9" w:rsidRDefault="00F77EC9" w:rsidP="00F77EC9"/>
    <w:p w14:paraId="72C18763" w14:textId="77777777" w:rsidR="00F77EC9" w:rsidRPr="00F77EC9" w:rsidRDefault="00F77EC9" w:rsidP="00F77EC9">
      <w:pPr>
        <w:pStyle w:val="Titre1"/>
      </w:pPr>
      <w:r w:rsidRPr="00F77EC9">
        <w:t>Modalité pédagogique</w:t>
      </w:r>
    </w:p>
    <w:p w14:paraId="0573E0B9" w14:textId="77777777" w:rsidR="00F77EC9" w:rsidRPr="00F77EC9" w:rsidRDefault="00000000" w:rsidP="00F77EC9">
      <w:pPr>
        <w:pStyle w:val="Titre2"/>
      </w:pPr>
      <w:hyperlink r:id="rId12" w:anchor="Serious" w:history="1">
        <w:r w:rsidR="00F77EC9" w:rsidRPr="00F77EC9">
          <w:rPr>
            <w:rStyle w:val="Lienhypertexte"/>
            <w:b/>
            <w:bCs/>
          </w:rPr>
          <w:t>Serious game</w:t>
        </w:r>
        <w:r w:rsidR="00F77EC9" w:rsidRPr="00F77EC9">
          <w:rPr>
            <w:rStyle w:val="Lienhypertexte"/>
            <w:b/>
            <w:bCs/>
          </w:rPr>
          <w:br/>
        </w:r>
      </w:hyperlink>
    </w:p>
    <w:p w14:paraId="4980C125" w14:textId="77777777" w:rsidR="00F77EC9" w:rsidRPr="00F77EC9" w:rsidRDefault="00F77EC9" w:rsidP="00F77EC9">
      <w:r w:rsidRPr="00F77EC9">
        <w:t>Un serious game est un objet ou activité mélangeant deux dimensions : une dimension "sérieuse" renvoyant à tout type de finalité utilitaire, et une dimension "ludique", correspondant à un jeu matérialisé sur tout type de support.</w:t>
      </w:r>
    </w:p>
    <w:p w14:paraId="6B7E7B29" w14:textId="77777777" w:rsidR="00F77EC9" w:rsidRPr="00F77EC9" w:rsidRDefault="00F77EC9" w:rsidP="00F77EC9">
      <w:r w:rsidRPr="00F77EC9">
        <w:t>Les HDVELH peuvent être considérés comme une forme de serious game, où le jeu n'est pas seulement un divertissement mais vise également des objectifs d'apprentissage spécifiques. Cette modalité pédagogique utilise le jeu pour motiver et engager les apprenants, en tirant parti de la nature intrinsèquement engageante du jeu pour faciliter l'acquisition de connaissances et de compétences.</w:t>
      </w:r>
    </w:p>
    <w:p w14:paraId="6E47C21D" w14:textId="77777777" w:rsidR="00F77EC9" w:rsidRPr="00F77EC9" w:rsidRDefault="00F77EC9" w:rsidP="00F77EC9"/>
    <w:p w14:paraId="51EEB3DE" w14:textId="77777777" w:rsidR="00F77EC9" w:rsidRPr="00F77EC9" w:rsidRDefault="00000000" w:rsidP="00F77EC9">
      <w:hyperlink r:id="rId13" w:tgtFrame="_blank" w:history="1">
        <w:r w:rsidR="00F77EC9" w:rsidRPr="00F77EC9">
          <w:rPr>
            <w:rStyle w:val="Lienhypertexte"/>
          </w:rPr>
          <w:t>Pour aller plus loin</w:t>
        </w:r>
      </w:hyperlink>
    </w:p>
    <w:p w14:paraId="4D7723B0" w14:textId="77777777" w:rsidR="00F77EC9" w:rsidRPr="00F77EC9" w:rsidRDefault="00F77EC9" w:rsidP="00F77EC9"/>
    <w:p w14:paraId="6EA1012F" w14:textId="77777777" w:rsidR="00F77EC9" w:rsidRPr="00F77EC9" w:rsidRDefault="009465F6" w:rsidP="00F77EC9">
      <w:r>
        <w:rPr>
          <w:noProof/>
        </w:rPr>
        <w:pict w14:anchorId="0F019711">
          <v:rect id="_x0000_i1026" alt="" style="width:453.6pt;height:.05pt;mso-width-percent:0;mso-height-percent:0;mso-width-percent:0;mso-height-percent:0" o:hralign="center" o:hrstd="t" o:hr="t" fillcolor="#a0a0a0" stroked="f"/>
        </w:pict>
      </w:r>
    </w:p>
    <w:p w14:paraId="31B757A5" w14:textId="77777777" w:rsidR="00F77EC9" w:rsidRPr="00F77EC9" w:rsidRDefault="00F77EC9" w:rsidP="00F77EC9"/>
    <w:p w14:paraId="61AA1A40" w14:textId="77777777" w:rsidR="00F77EC9" w:rsidRPr="00F77EC9" w:rsidRDefault="00F77EC9" w:rsidP="00F77EC9">
      <w:pPr>
        <w:pStyle w:val="Titre1"/>
      </w:pPr>
      <w:r w:rsidRPr="00F77EC9">
        <w:t>Techniques pédagogiques</w:t>
      </w:r>
    </w:p>
    <w:p w14:paraId="55BDE3C3" w14:textId="77777777" w:rsidR="00F77EC9" w:rsidRPr="00F77EC9" w:rsidRDefault="00F77EC9" w:rsidP="00F77EC9">
      <w:r w:rsidRPr="00F77EC9">
        <w:t>Ci-après une liste non exhaustive de techniques pédagogiques à l'œuvre dans une HDVELH.</w:t>
      </w:r>
    </w:p>
    <w:p w14:paraId="70D799DC" w14:textId="77777777" w:rsidR="00F77EC9" w:rsidRPr="00F77EC9" w:rsidRDefault="00000000" w:rsidP="00F77EC9">
      <w:pPr>
        <w:pStyle w:val="Titre2"/>
      </w:pPr>
      <w:hyperlink r:id="rId14" w:anchor="Dégamifier" w:history="1">
        <w:r w:rsidR="00F77EC9" w:rsidRPr="00F77EC9">
          <w:rPr>
            <w:rStyle w:val="Lienhypertexte"/>
            <w:b/>
            <w:bCs/>
          </w:rPr>
          <w:t>Gamifier - Dégamifier</w:t>
        </w:r>
        <w:r w:rsidR="00F77EC9" w:rsidRPr="00F77EC9">
          <w:rPr>
            <w:rStyle w:val="Lienhypertexte"/>
            <w:b/>
            <w:bCs/>
          </w:rPr>
          <w:br/>
        </w:r>
      </w:hyperlink>
    </w:p>
    <w:p w14:paraId="1A368DF3" w14:textId="77777777" w:rsidR="00F77EC9" w:rsidRPr="00F77EC9" w:rsidRDefault="00F77EC9" w:rsidP="00F77EC9">
      <w:pPr>
        <w:numPr>
          <w:ilvl w:val="0"/>
          <w:numId w:val="1"/>
        </w:numPr>
      </w:pPr>
      <w:r w:rsidRPr="00F77EC9">
        <w:t>Gamifier : Ajouter des mécanismes issus du jeu à une activité ou un parcours "sérieux" pour favoriser l’engagement des utilisateurs, participants ou apprenants.</w:t>
      </w:r>
    </w:p>
    <w:p w14:paraId="39F074E0" w14:textId="77777777" w:rsidR="00F77EC9" w:rsidRPr="00F77EC9" w:rsidRDefault="00F77EC9" w:rsidP="00F77EC9">
      <w:pPr>
        <w:numPr>
          <w:ilvl w:val="0"/>
          <w:numId w:val="1"/>
        </w:numPr>
      </w:pPr>
      <w:r w:rsidRPr="00F77EC9">
        <w:t>Dégamifier : Retirer à un jeu existant des éléments ludiques identifiés comme "perturbateurs" pour favoriser l’objectif utilitaire sérieux (l’apprentissage par exemple).</w:t>
      </w:r>
    </w:p>
    <w:p w14:paraId="58C087CC" w14:textId="77777777" w:rsidR="00F77EC9" w:rsidRPr="00F77EC9" w:rsidRDefault="00F77EC9" w:rsidP="00F77EC9">
      <w:pPr>
        <w:pStyle w:val="Titre2"/>
      </w:pPr>
      <w:hyperlink r:id="rId15" w:anchor="Boucles" w:history="1">
        <w:r w:rsidRPr="00F77EC9">
          <w:rPr>
            <w:rStyle w:val="Lienhypertexte"/>
            <w:b/>
            <w:bCs/>
          </w:rPr>
          <w:t>Boucles de pratique-feedback-remédiation</w:t>
        </w:r>
        <w:r w:rsidRPr="00F77EC9">
          <w:rPr>
            <w:rStyle w:val="Lienhypertexte"/>
            <w:b/>
            <w:bCs/>
          </w:rPr>
          <w:br/>
        </w:r>
      </w:hyperlink>
    </w:p>
    <w:p w14:paraId="6D266F74" w14:textId="77777777" w:rsidR="00F77EC9" w:rsidRPr="00F77EC9" w:rsidRDefault="00F77EC9" w:rsidP="00F77EC9">
      <w:r w:rsidRPr="00F77EC9">
        <w:t>Des boucles itératives de pratique, rétroaction formative et remédiation permettent aux apprenants de se tester, d'identifier leurs lacunes et de remédier à leurs difficultés.</w:t>
      </w:r>
    </w:p>
    <w:p w14:paraId="768EA6E1" w14:textId="77777777" w:rsidR="00F77EC9" w:rsidRPr="00F77EC9" w:rsidRDefault="00000000" w:rsidP="00F77EC9">
      <w:pPr>
        <w:pStyle w:val="Titre2"/>
      </w:pPr>
      <w:hyperlink r:id="rId16" w:anchor="Autonomie" w:history="1">
        <w:r w:rsidR="00F77EC9" w:rsidRPr="00F77EC9">
          <w:rPr>
            <w:rStyle w:val="Lienhypertexte"/>
            <w:b/>
            <w:bCs/>
          </w:rPr>
          <w:t>Autonomie et engagement</w:t>
        </w:r>
        <w:r w:rsidR="00F77EC9" w:rsidRPr="00F77EC9">
          <w:rPr>
            <w:rStyle w:val="Lienhypertexte"/>
            <w:b/>
            <w:bCs/>
          </w:rPr>
          <w:br/>
        </w:r>
      </w:hyperlink>
    </w:p>
    <w:p w14:paraId="59A4FB99" w14:textId="77777777" w:rsidR="00F77EC9" w:rsidRPr="00F77EC9" w:rsidRDefault="00F77EC9" w:rsidP="00F77EC9">
      <w:r w:rsidRPr="00F77EC9">
        <w:t>Le livre-jeu met l'accent sur l'autonomie de l'apprenant et sur son engagement actif. En étant « l'auteur » de l'histoire, l'apprenant a le contrôle sur le déroulement de l'activité, ce qui peut augmenter la motivation et l'implication.</w:t>
      </w:r>
    </w:p>
    <w:p w14:paraId="29551225" w14:textId="77777777" w:rsidR="00F77EC9" w:rsidRPr="00F77EC9" w:rsidRDefault="00000000" w:rsidP="00F77EC9">
      <w:pPr>
        <w:pStyle w:val="Titre2"/>
      </w:pPr>
      <w:hyperlink r:id="rId17" w:anchor="Individualisation" w:history="1">
        <w:r w:rsidR="00F77EC9" w:rsidRPr="00F77EC9">
          <w:rPr>
            <w:rStyle w:val="Lienhypertexte"/>
            <w:b/>
            <w:bCs/>
          </w:rPr>
          <w:t>Individualisation vs personnalisation</w:t>
        </w:r>
        <w:r w:rsidR="00F77EC9" w:rsidRPr="00F77EC9">
          <w:rPr>
            <w:rStyle w:val="Lienhypertexte"/>
            <w:b/>
            <w:bCs/>
          </w:rPr>
          <w:br/>
        </w:r>
      </w:hyperlink>
    </w:p>
    <w:p w14:paraId="3FA5EF0E" w14:textId="77777777" w:rsidR="00F77EC9" w:rsidRPr="00F77EC9" w:rsidRDefault="00F77EC9" w:rsidP="00F77EC9">
      <w:r w:rsidRPr="00F77EC9">
        <w:t>Le livre-jeu permet l'</w:t>
      </w:r>
      <w:r w:rsidRPr="00F77EC9">
        <w:rPr>
          <w:b/>
          <w:bCs/>
        </w:rPr>
        <w:t>individualisation</w:t>
      </w:r>
      <w:r w:rsidRPr="00F77EC9">
        <w:t xml:space="preserve"> des parcours d'apprentissage. L'individualisation fait référence à l'adaptation du processus d'apprentissage aux capacités, rythmes et objectifs d'apprentissage de groupes d'individus. Cette approche prend en compte les différences entre les apprenants, mais le fait de manière globale au sein d'un groupe. L'individualisation peut impliquer la création de différents parcours ou modules d'apprentissage où les apprenants peuvent progresser à leur propre rythme. Les contenus, bien qu'adaptés, restent relativement standards et sont conçus pour répondre aux besoins d'un large éventail d'apprenants. Dans un contexte d'individualisation, les enseignants fournissent des ressources et des activités diversifiées, permettant aux apprenants de choisir celles qui correspondent le mieux à leurs préférences d'apprentissage et à leur niveau de compétence. Les évaluations sont également flexibles, offrant plusieurs voies pour démontrer la maîtrise des compétences ou des connaissances.</w:t>
      </w:r>
    </w:p>
    <w:p w14:paraId="5BD0CF37" w14:textId="77777777" w:rsidR="00F77EC9" w:rsidRPr="00F77EC9" w:rsidRDefault="00F77EC9" w:rsidP="00F77EC9">
      <w:r w:rsidRPr="00F77EC9">
        <w:t xml:space="preserve">La </w:t>
      </w:r>
      <w:r w:rsidRPr="00F77EC9">
        <w:rPr>
          <w:b/>
          <w:bCs/>
        </w:rPr>
        <w:t>personnalisation,</w:t>
      </w:r>
      <w:r w:rsidRPr="00F77EC9">
        <w:t xml:space="preserve"> en revanche, vise à adapter l'enseignement aux besoins, intérêts, objectifs, et contexte spécifiques de chaque apprenant individuel. Cette approche est hautement centrée sur l'apprenant, avec un effort pour comprendre et répondre à ses particularités uniques. La personnalisation implique souvent une collaboration étroite entre l'apprenant et l'enseignant pour co-construire le parcours d'apprentissage, incluant le choix des sujets à explorer, des méthodes d'apprentissage, et des modalités d'évaluation adaptées. La personnalisation peut demander un niveau de ressources et d'attention significativement plus élevé de la part des enseignants, car elle nécessite une adaptation constante des stratégies pédagogiques et des contenus pour répondre précisément aux besoins de chaque individu. Elle repose sur une connaissance approfondie de chaque apprenant, obtenue à travers des observations continues, des entretiens et l'utilisation de données d'apprentissage.</w:t>
      </w:r>
    </w:p>
    <w:p w14:paraId="74AA56BB" w14:textId="77777777" w:rsidR="00F77EC9" w:rsidRPr="00F77EC9" w:rsidRDefault="00000000" w:rsidP="00F77EC9">
      <w:pPr>
        <w:pStyle w:val="Titre2"/>
      </w:pPr>
      <w:hyperlink r:id="rId18" w:anchor="découverte" w:history="1">
        <w:r w:rsidR="00F77EC9" w:rsidRPr="00F77EC9">
          <w:rPr>
            <w:rStyle w:val="Lienhypertexte"/>
            <w:b/>
            <w:bCs/>
          </w:rPr>
          <w:t>Autonomie et engagement</w:t>
        </w:r>
        <w:r w:rsidR="00F77EC9" w:rsidRPr="00F77EC9">
          <w:rPr>
            <w:rStyle w:val="Lienhypertexte"/>
            <w:b/>
            <w:bCs/>
          </w:rPr>
          <w:br/>
        </w:r>
      </w:hyperlink>
    </w:p>
    <w:p w14:paraId="45CE3766" w14:textId="77777777" w:rsidR="00F77EC9" w:rsidRPr="00F77EC9" w:rsidRDefault="00F77EC9" w:rsidP="00F77EC9">
      <w:r w:rsidRPr="00F77EC9">
        <w:t>Au lieu de recevoir passivement des connaissances, les apprenants explorent, font des choix et découvrent par eux-mêmes les conséquences de leurs décisions. Cela favorise un apprentissage plus concret et significatif.</w:t>
      </w:r>
    </w:p>
    <w:p w14:paraId="13301A73" w14:textId="77777777" w:rsidR="00F77EC9" w:rsidRPr="00F77EC9" w:rsidRDefault="00000000" w:rsidP="00F77EC9">
      <w:pPr>
        <w:pStyle w:val="Titre2"/>
      </w:pPr>
      <w:hyperlink r:id="rId19" w:anchor="Réflexion" w:history="1">
        <w:r w:rsidR="00F77EC9" w:rsidRPr="00F77EC9">
          <w:rPr>
            <w:rStyle w:val="Lienhypertexte"/>
            <w:b/>
            <w:bCs/>
          </w:rPr>
          <w:t>Réflexion et métacognition</w:t>
        </w:r>
        <w:r w:rsidR="00F77EC9" w:rsidRPr="00F77EC9">
          <w:rPr>
            <w:rStyle w:val="Lienhypertexte"/>
            <w:b/>
            <w:bCs/>
          </w:rPr>
          <w:br/>
        </w:r>
      </w:hyperlink>
    </w:p>
    <w:p w14:paraId="377371D0" w14:textId="77777777" w:rsidR="00F77EC9" w:rsidRPr="00F77EC9" w:rsidRDefault="00F77EC9" w:rsidP="00F77EC9">
      <w:r w:rsidRPr="00F77EC9">
        <w:t>La conception d'un « livre dont vous êtes le héros » encourage les apprenants à réfléchir sur leur propre processus d'apprentissage (métacognition) et sur la manière dont ils abordent la résolution de problèmes complexes et la prise de décision.</w:t>
      </w:r>
    </w:p>
    <w:p w14:paraId="62E20FB4" w14:textId="77777777" w:rsidR="00F77EC9" w:rsidRPr="00F77EC9" w:rsidRDefault="00F77EC9" w:rsidP="00F77EC9"/>
    <w:p w14:paraId="15814FC0" w14:textId="77777777" w:rsidR="00F77EC9" w:rsidRPr="00F77EC9" w:rsidRDefault="009465F6" w:rsidP="00F77EC9">
      <w:r>
        <w:rPr>
          <w:noProof/>
        </w:rPr>
        <w:pict w14:anchorId="4B0D2345">
          <v:rect id="_x0000_i1025" alt="" style="width:453.6pt;height:.05pt;mso-width-percent:0;mso-height-percent:0;mso-width-percent:0;mso-height-percent:0" o:hralign="center" o:hrstd="t" o:hr="t" fillcolor="#a0a0a0" stroked="f"/>
        </w:pict>
      </w:r>
    </w:p>
    <w:p w14:paraId="1CDD26AF" w14:textId="77777777" w:rsidR="00F77EC9" w:rsidRPr="00F77EC9" w:rsidRDefault="00F77EC9" w:rsidP="00F77EC9"/>
    <w:p w14:paraId="6B21C84F" w14:textId="77777777" w:rsidR="00F77EC9" w:rsidRPr="00F77EC9" w:rsidRDefault="00F77EC9" w:rsidP="00F77EC9">
      <w:pPr>
        <w:pStyle w:val="Titre1"/>
      </w:pPr>
      <w:r w:rsidRPr="00F77EC9">
        <w:t>Interdisciplinarité</w:t>
      </w:r>
    </w:p>
    <w:p w14:paraId="0A0E7C82" w14:textId="77777777" w:rsidR="00F77EC9" w:rsidRPr="00F77EC9" w:rsidRDefault="00000000" w:rsidP="00F77EC9">
      <w:pPr>
        <w:pStyle w:val="Titre2"/>
      </w:pPr>
      <w:hyperlink r:id="rId20" w:anchor="Narration" w:history="1">
        <w:r w:rsidR="00F77EC9" w:rsidRPr="00F77EC9">
          <w:rPr>
            <w:rStyle w:val="Lienhypertexte"/>
            <w:b/>
            <w:bCs/>
          </w:rPr>
          <w:t>Narration numérique</w:t>
        </w:r>
        <w:r w:rsidR="00F77EC9" w:rsidRPr="00F77EC9">
          <w:rPr>
            <w:rStyle w:val="Lienhypertexte"/>
            <w:b/>
            <w:bCs/>
          </w:rPr>
          <w:br/>
        </w:r>
      </w:hyperlink>
    </w:p>
    <w:p w14:paraId="68CB39CD" w14:textId="77777777" w:rsidR="00F77EC9" w:rsidRPr="00F77EC9" w:rsidRDefault="00F77EC9" w:rsidP="00F77EC9">
      <w:r w:rsidRPr="00F77EC9">
        <w:t xml:space="preserve">La création de ce type de livre peut également être vue comme une forme de narration numérique (activité Leçon de Moodle), où les apprenants utilisent les TICE pour raconter des histoires. Cela permet de développer à la fois la </w:t>
      </w:r>
      <w:hyperlink r:id="rId21" w:tgtFrame="_blank" w:history="1">
        <w:r w:rsidRPr="00F77EC9">
          <w:rPr>
            <w:rStyle w:val="Lienhypertexte"/>
          </w:rPr>
          <w:t>littératie numérique</w:t>
        </w:r>
      </w:hyperlink>
      <w:r w:rsidRPr="00F77EC9">
        <w:t xml:space="preserve"> et la compétence narrative, des compétences clés dans la société de l'information.</w:t>
      </w:r>
    </w:p>
    <w:p w14:paraId="57755E9D" w14:textId="77777777" w:rsidR="00F77EC9" w:rsidRPr="00F77EC9" w:rsidRDefault="00000000" w:rsidP="00F77EC9">
      <w:pPr>
        <w:pStyle w:val="Titre2"/>
      </w:pPr>
      <w:hyperlink r:id="rId22" w:anchor="Développement" w:history="1">
        <w:r w:rsidR="00F77EC9" w:rsidRPr="00F77EC9">
          <w:rPr>
            <w:rStyle w:val="Lienhypertexte"/>
            <w:b/>
            <w:bCs/>
          </w:rPr>
          <w:t>Développement des compétences transversales</w:t>
        </w:r>
        <w:r w:rsidR="00F77EC9" w:rsidRPr="00F77EC9">
          <w:rPr>
            <w:rStyle w:val="Lienhypertexte"/>
            <w:b/>
            <w:bCs/>
          </w:rPr>
          <w:br/>
        </w:r>
      </w:hyperlink>
    </w:p>
    <w:p w14:paraId="4CBB9183" w14:textId="77777777" w:rsidR="00F77EC9" w:rsidRPr="00F77EC9" w:rsidRDefault="00F77EC9" w:rsidP="00F77EC9">
      <w:r w:rsidRPr="00F77EC9">
        <w:t>La tâche de créer un livre interactif sollicite et développe une variété de compétences transversales : compétences en écriture créative :</w:t>
      </w:r>
    </w:p>
    <w:p w14:paraId="52CA3EAF" w14:textId="77777777" w:rsidR="00F77EC9" w:rsidRPr="00F77EC9" w:rsidRDefault="00F77EC9" w:rsidP="00F77EC9">
      <w:pPr>
        <w:numPr>
          <w:ilvl w:val="0"/>
          <w:numId w:val="2"/>
        </w:numPr>
      </w:pPr>
      <w:r w:rsidRPr="00F77EC9">
        <w:t>inventer des histoires, développer des personnages, et créer des dialogues engageants ;</w:t>
      </w:r>
    </w:p>
    <w:p w14:paraId="33D38F39" w14:textId="77777777" w:rsidR="00F77EC9" w:rsidRPr="00F77EC9" w:rsidRDefault="00F77EC9" w:rsidP="00F77EC9">
      <w:pPr>
        <w:numPr>
          <w:ilvl w:val="0"/>
          <w:numId w:val="2"/>
        </w:numPr>
      </w:pPr>
      <w:r w:rsidRPr="00F77EC9">
        <w:t>pensée critique et résolution de problèmes : envisager différents scénarios et leurs issues possibles ; </w:t>
      </w:r>
    </w:p>
    <w:p w14:paraId="562A5AC4" w14:textId="77777777" w:rsidR="00F77EC9" w:rsidRPr="00F77EC9" w:rsidRDefault="00F77EC9" w:rsidP="00F77EC9">
      <w:pPr>
        <w:numPr>
          <w:ilvl w:val="0"/>
          <w:numId w:val="2"/>
        </w:numPr>
      </w:pPr>
      <w:r w:rsidRPr="00F77EC9">
        <w:t>gestion de projet : organiser et structurer l'histoire, gérer la complexité des branchements ;</w:t>
      </w:r>
    </w:p>
    <w:p w14:paraId="31E901F9" w14:textId="77777777" w:rsidR="00F77EC9" w:rsidRPr="00F77EC9" w:rsidRDefault="00F77EC9" w:rsidP="00F77EC9">
      <w:pPr>
        <w:numPr>
          <w:ilvl w:val="0"/>
          <w:numId w:val="2"/>
        </w:numPr>
      </w:pPr>
      <w:r w:rsidRPr="00F77EC9">
        <w:t xml:space="preserve">travail d'équipe : si réalisé en groupe, cette activité nécessite communication et collaboration. </w:t>
      </w:r>
    </w:p>
    <w:p w14:paraId="6E3919C5" w14:textId="77777777" w:rsidR="00F77EC9" w:rsidRDefault="00F77EC9"/>
    <w:sectPr w:rsidR="00F77E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769B"/>
    <w:multiLevelType w:val="multilevel"/>
    <w:tmpl w:val="E83E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E37AA"/>
    <w:multiLevelType w:val="multilevel"/>
    <w:tmpl w:val="5A3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B31FE6"/>
    <w:multiLevelType w:val="multilevel"/>
    <w:tmpl w:val="05A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99501">
    <w:abstractNumId w:val="2"/>
  </w:num>
  <w:num w:numId="2" w16cid:durableId="1556503109">
    <w:abstractNumId w:val="0"/>
  </w:num>
  <w:num w:numId="3" w16cid:durableId="1515724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C9"/>
    <w:rsid w:val="00036591"/>
    <w:rsid w:val="00060510"/>
    <w:rsid w:val="0021171B"/>
    <w:rsid w:val="007549B8"/>
    <w:rsid w:val="007D773D"/>
    <w:rsid w:val="009465F6"/>
    <w:rsid w:val="009B35A9"/>
    <w:rsid w:val="009E73B6"/>
    <w:rsid w:val="00B245DF"/>
    <w:rsid w:val="00CC7F75"/>
    <w:rsid w:val="00F0712B"/>
    <w:rsid w:val="00F77E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F9E7"/>
  <w15:chartTrackingRefBased/>
  <w15:docId w15:val="{4D14DCB2-1790-564D-9A80-7FF725F9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7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77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7EC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7EC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7EC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7EC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7EC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7EC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7EC9"/>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7EC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77EC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7EC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7EC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7EC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7E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7E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7E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7EC9"/>
    <w:rPr>
      <w:rFonts w:eastAsiaTheme="majorEastAsia" w:cstheme="majorBidi"/>
      <w:color w:val="272727" w:themeColor="text1" w:themeTint="D8"/>
    </w:rPr>
  </w:style>
  <w:style w:type="paragraph" w:styleId="Titre">
    <w:name w:val="Title"/>
    <w:basedOn w:val="Normal"/>
    <w:next w:val="Normal"/>
    <w:link w:val="TitreCar"/>
    <w:uiPriority w:val="10"/>
    <w:qFormat/>
    <w:rsid w:val="00F77EC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7E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7EC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7E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7EC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77EC9"/>
    <w:rPr>
      <w:i/>
      <w:iCs/>
      <w:color w:val="404040" w:themeColor="text1" w:themeTint="BF"/>
    </w:rPr>
  </w:style>
  <w:style w:type="paragraph" w:styleId="Paragraphedeliste">
    <w:name w:val="List Paragraph"/>
    <w:basedOn w:val="Normal"/>
    <w:uiPriority w:val="34"/>
    <w:qFormat/>
    <w:rsid w:val="00F77EC9"/>
    <w:pPr>
      <w:ind w:left="720"/>
      <w:contextualSpacing/>
    </w:pPr>
  </w:style>
  <w:style w:type="character" w:styleId="Accentuationintense">
    <w:name w:val="Intense Emphasis"/>
    <w:basedOn w:val="Policepardfaut"/>
    <w:uiPriority w:val="21"/>
    <w:qFormat/>
    <w:rsid w:val="00F77EC9"/>
    <w:rPr>
      <w:i/>
      <w:iCs/>
      <w:color w:val="0F4761" w:themeColor="accent1" w:themeShade="BF"/>
    </w:rPr>
  </w:style>
  <w:style w:type="paragraph" w:styleId="Citationintense">
    <w:name w:val="Intense Quote"/>
    <w:basedOn w:val="Normal"/>
    <w:next w:val="Normal"/>
    <w:link w:val="CitationintenseCar"/>
    <w:uiPriority w:val="30"/>
    <w:qFormat/>
    <w:rsid w:val="00F77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7EC9"/>
    <w:rPr>
      <w:i/>
      <w:iCs/>
      <w:color w:val="0F4761" w:themeColor="accent1" w:themeShade="BF"/>
    </w:rPr>
  </w:style>
  <w:style w:type="character" w:styleId="Rfrenceintense">
    <w:name w:val="Intense Reference"/>
    <w:basedOn w:val="Policepardfaut"/>
    <w:uiPriority w:val="32"/>
    <w:qFormat/>
    <w:rsid w:val="00F77EC9"/>
    <w:rPr>
      <w:b/>
      <w:bCs/>
      <w:smallCaps/>
      <w:color w:val="0F4761" w:themeColor="accent1" w:themeShade="BF"/>
      <w:spacing w:val="5"/>
    </w:rPr>
  </w:style>
  <w:style w:type="character" w:styleId="Lienhypertexte">
    <w:name w:val="Hyperlink"/>
    <w:basedOn w:val="Policepardfaut"/>
    <w:uiPriority w:val="99"/>
    <w:unhideWhenUsed/>
    <w:rsid w:val="00F77EC9"/>
    <w:rPr>
      <w:color w:val="467886" w:themeColor="hyperlink"/>
      <w:u w:val="single"/>
    </w:rPr>
  </w:style>
  <w:style w:type="character" w:styleId="Mentionnonrsolue">
    <w:name w:val="Unresolved Mention"/>
    <w:basedOn w:val="Policepardfaut"/>
    <w:uiPriority w:val="99"/>
    <w:semiHidden/>
    <w:unhideWhenUsed/>
    <w:rsid w:val="00F77EC9"/>
    <w:rPr>
      <w:color w:val="605E5C"/>
      <w:shd w:val="clear" w:color="auto" w:fill="E1DFDD"/>
    </w:rPr>
  </w:style>
  <w:style w:type="character" w:styleId="Lienhypertextesuivivisit">
    <w:name w:val="FollowedHyperlink"/>
    <w:basedOn w:val="Policepardfaut"/>
    <w:uiPriority w:val="99"/>
    <w:semiHidden/>
    <w:unhideWhenUsed/>
    <w:rsid w:val="00F77E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20772">
      <w:bodyDiv w:val="1"/>
      <w:marLeft w:val="0"/>
      <w:marRight w:val="0"/>
      <w:marTop w:val="0"/>
      <w:marBottom w:val="0"/>
      <w:divBdr>
        <w:top w:val="none" w:sz="0" w:space="0" w:color="auto"/>
        <w:left w:val="none" w:sz="0" w:space="0" w:color="auto"/>
        <w:bottom w:val="none" w:sz="0" w:space="0" w:color="auto"/>
        <w:right w:val="none" w:sz="0" w:space="0" w:color="auto"/>
      </w:divBdr>
    </w:div>
    <w:div w:id="517501156">
      <w:bodyDiv w:val="1"/>
      <w:marLeft w:val="0"/>
      <w:marRight w:val="0"/>
      <w:marTop w:val="0"/>
      <w:marBottom w:val="0"/>
      <w:divBdr>
        <w:top w:val="none" w:sz="0" w:space="0" w:color="auto"/>
        <w:left w:val="none" w:sz="0" w:space="0" w:color="auto"/>
        <w:bottom w:val="none" w:sz="0" w:space="0" w:color="auto"/>
        <w:right w:val="none" w:sz="0" w:space="0" w:color="auto"/>
      </w:divBdr>
    </w:div>
    <w:div w:id="613438342">
      <w:bodyDiv w:val="1"/>
      <w:marLeft w:val="0"/>
      <w:marRight w:val="0"/>
      <w:marTop w:val="0"/>
      <w:marBottom w:val="0"/>
      <w:divBdr>
        <w:top w:val="none" w:sz="0" w:space="0" w:color="auto"/>
        <w:left w:val="none" w:sz="0" w:space="0" w:color="auto"/>
        <w:bottom w:val="none" w:sz="0" w:space="0" w:color="auto"/>
        <w:right w:val="none" w:sz="0" w:space="0" w:color="auto"/>
      </w:divBdr>
    </w:div>
    <w:div w:id="728528985">
      <w:bodyDiv w:val="1"/>
      <w:marLeft w:val="0"/>
      <w:marRight w:val="0"/>
      <w:marTop w:val="0"/>
      <w:marBottom w:val="0"/>
      <w:divBdr>
        <w:top w:val="none" w:sz="0" w:space="0" w:color="auto"/>
        <w:left w:val="none" w:sz="0" w:space="0" w:color="auto"/>
        <w:bottom w:val="none" w:sz="0" w:space="0" w:color="auto"/>
        <w:right w:val="none" w:sz="0" w:space="0" w:color="auto"/>
      </w:divBdr>
    </w:div>
    <w:div w:id="869148060">
      <w:bodyDiv w:val="1"/>
      <w:marLeft w:val="0"/>
      <w:marRight w:val="0"/>
      <w:marTop w:val="0"/>
      <w:marBottom w:val="0"/>
      <w:divBdr>
        <w:top w:val="none" w:sz="0" w:space="0" w:color="auto"/>
        <w:left w:val="none" w:sz="0" w:space="0" w:color="auto"/>
        <w:bottom w:val="none" w:sz="0" w:space="0" w:color="auto"/>
        <w:right w:val="none" w:sz="0" w:space="0" w:color="auto"/>
      </w:divBdr>
      <w:divsChild>
        <w:div w:id="795292152">
          <w:marLeft w:val="0"/>
          <w:marRight w:val="0"/>
          <w:marTop w:val="0"/>
          <w:marBottom w:val="0"/>
          <w:divBdr>
            <w:top w:val="none" w:sz="0" w:space="0" w:color="auto"/>
            <w:left w:val="none" w:sz="0" w:space="0" w:color="auto"/>
            <w:bottom w:val="none" w:sz="0" w:space="0" w:color="auto"/>
            <w:right w:val="none" w:sz="0" w:space="0" w:color="auto"/>
          </w:divBdr>
          <w:divsChild>
            <w:div w:id="1268541225">
              <w:marLeft w:val="0"/>
              <w:marRight w:val="0"/>
              <w:marTop w:val="0"/>
              <w:marBottom w:val="0"/>
              <w:divBdr>
                <w:top w:val="none" w:sz="0" w:space="0" w:color="auto"/>
                <w:left w:val="none" w:sz="0" w:space="0" w:color="auto"/>
                <w:bottom w:val="none" w:sz="0" w:space="0" w:color="auto"/>
                <w:right w:val="none" w:sz="0" w:space="0" w:color="auto"/>
              </w:divBdr>
              <w:divsChild>
                <w:div w:id="155038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5442">
          <w:marLeft w:val="0"/>
          <w:marRight w:val="0"/>
          <w:marTop w:val="0"/>
          <w:marBottom w:val="0"/>
          <w:divBdr>
            <w:top w:val="none" w:sz="0" w:space="0" w:color="auto"/>
            <w:left w:val="none" w:sz="0" w:space="0" w:color="auto"/>
            <w:bottom w:val="none" w:sz="0" w:space="0" w:color="auto"/>
            <w:right w:val="none" w:sz="0" w:space="0" w:color="auto"/>
          </w:divBdr>
          <w:divsChild>
            <w:div w:id="435753013">
              <w:marLeft w:val="0"/>
              <w:marRight w:val="0"/>
              <w:marTop w:val="0"/>
              <w:marBottom w:val="0"/>
              <w:divBdr>
                <w:top w:val="none" w:sz="0" w:space="0" w:color="auto"/>
                <w:left w:val="none" w:sz="0" w:space="0" w:color="auto"/>
                <w:bottom w:val="none" w:sz="0" w:space="0" w:color="auto"/>
                <w:right w:val="none" w:sz="0" w:space="0" w:color="auto"/>
              </w:divBdr>
              <w:divsChild>
                <w:div w:id="194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5313">
          <w:marLeft w:val="0"/>
          <w:marRight w:val="0"/>
          <w:marTop w:val="0"/>
          <w:marBottom w:val="0"/>
          <w:divBdr>
            <w:top w:val="none" w:sz="0" w:space="0" w:color="auto"/>
            <w:left w:val="none" w:sz="0" w:space="0" w:color="auto"/>
            <w:bottom w:val="none" w:sz="0" w:space="0" w:color="auto"/>
            <w:right w:val="none" w:sz="0" w:space="0" w:color="auto"/>
          </w:divBdr>
          <w:divsChild>
            <w:div w:id="705836093">
              <w:marLeft w:val="0"/>
              <w:marRight w:val="0"/>
              <w:marTop w:val="0"/>
              <w:marBottom w:val="0"/>
              <w:divBdr>
                <w:top w:val="none" w:sz="0" w:space="0" w:color="auto"/>
                <w:left w:val="none" w:sz="0" w:space="0" w:color="auto"/>
                <w:bottom w:val="none" w:sz="0" w:space="0" w:color="auto"/>
                <w:right w:val="none" w:sz="0" w:space="0" w:color="auto"/>
              </w:divBdr>
              <w:divsChild>
                <w:div w:id="16591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0598">
          <w:marLeft w:val="0"/>
          <w:marRight w:val="0"/>
          <w:marTop w:val="0"/>
          <w:marBottom w:val="0"/>
          <w:divBdr>
            <w:top w:val="none" w:sz="0" w:space="0" w:color="auto"/>
            <w:left w:val="none" w:sz="0" w:space="0" w:color="auto"/>
            <w:bottom w:val="none" w:sz="0" w:space="0" w:color="auto"/>
            <w:right w:val="none" w:sz="0" w:space="0" w:color="auto"/>
          </w:divBdr>
          <w:divsChild>
            <w:div w:id="508953680">
              <w:marLeft w:val="0"/>
              <w:marRight w:val="0"/>
              <w:marTop w:val="0"/>
              <w:marBottom w:val="0"/>
              <w:divBdr>
                <w:top w:val="none" w:sz="0" w:space="0" w:color="auto"/>
                <w:left w:val="none" w:sz="0" w:space="0" w:color="auto"/>
                <w:bottom w:val="none" w:sz="0" w:space="0" w:color="auto"/>
                <w:right w:val="none" w:sz="0" w:space="0" w:color="auto"/>
              </w:divBdr>
              <w:divsChild>
                <w:div w:id="12063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2050">
          <w:marLeft w:val="0"/>
          <w:marRight w:val="0"/>
          <w:marTop w:val="0"/>
          <w:marBottom w:val="0"/>
          <w:divBdr>
            <w:top w:val="none" w:sz="0" w:space="0" w:color="auto"/>
            <w:left w:val="none" w:sz="0" w:space="0" w:color="auto"/>
            <w:bottom w:val="none" w:sz="0" w:space="0" w:color="auto"/>
            <w:right w:val="none" w:sz="0" w:space="0" w:color="auto"/>
          </w:divBdr>
          <w:divsChild>
            <w:div w:id="1064370252">
              <w:marLeft w:val="0"/>
              <w:marRight w:val="0"/>
              <w:marTop w:val="0"/>
              <w:marBottom w:val="0"/>
              <w:divBdr>
                <w:top w:val="none" w:sz="0" w:space="0" w:color="auto"/>
                <w:left w:val="none" w:sz="0" w:space="0" w:color="auto"/>
                <w:bottom w:val="none" w:sz="0" w:space="0" w:color="auto"/>
                <w:right w:val="none" w:sz="0" w:space="0" w:color="auto"/>
              </w:divBdr>
              <w:divsChild>
                <w:div w:id="7967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040">
          <w:marLeft w:val="0"/>
          <w:marRight w:val="0"/>
          <w:marTop w:val="0"/>
          <w:marBottom w:val="0"/>
          <w:divBdr>
            <w:top w:val="none" w:sz="0" w:space="0" w:color="auto"/>
            <w:left w:val="none" w:sz="0" w:space="0" w:color="auto"/>
            <w:bottom w:val="none" w:sz="0" w:space="0" w:color="auto"/>
            <w:right w:val="none" w:sz="0" w:space="0" w:color="auto"/>
          </w:divBdr>
          <w:divsChild>
            <w:div w:id="1923638406">
              <w:marLeft w:val="0"/>
              <w:marRight w:val="0"/>
              <w:marTop w:val="0"/>
              <w:marBottom w:val="0"/>
              <w:divBdr>
                <w:top w:val="none" w:sz="0" w:space="0" w:color="auto"/>
                <w:left w:val="none" w:sz="0" w:space="0" w:color="auto"/>
                <w:bottom w:val="none" w:sz="0" w:space="0" w:color="auto"/>
                <w:right w:val="none" w:sz="0" w:space="0" w:color="auto"/>
              </w:divBdr>
              <w:divsChild>
                <w:div w:id="373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637">
          <w:marLeft w:val="0"/>
          <w:marRight w:val="0"/>
          <w:marTop w:val="0"/>
          <w:marBottom w:val="0"/>
          <w:divBdr>
            <w:top w:val="none" w:sz="0" w:space="0" w:color="auto"/>
            <w:left w:val="none" w:sz="0" w:space="0" w:color="auto"/>
            <w:bottom w:val="none" w:sz="0" w:space="0" w:color="auto"/>
            <w:right w:val="none" w:sz="0" w:space="0" w:color="auto"/>
          </w:divBdr>
          <w:divsChild>
            <w:div w:id="1124889253">
              <w:marLeft w:val="0"/>
              <w:marRight w:val="0"/>
              <w:marTop w:val="0"/>
              <w:marBottom w:val="0"/>
              <w:divBdr>
                <w:top w:val="none" w:sz="0" w:space="0" w:color="auto"/>
                <w:left w:val="none" w:sz="0" w:space="0" w:color="auto"/>
                <w:bottom w:val="none" w:sz="0" w:space="0" w:color="auto"/>
                <w:right w:val="none" w:sz="0" w:space="0" w:color="auto"/>
              </w:divBdr>
              <w:divsChild>
                <w:div w:id="17412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4059">
          <w:marLeft w:val="0"/>
          <w:marRight w:val="0"/>
          <w:marTop w:val="0"/>
          <w:marBottom w:val="0"/>
          <w:divBdr>
            <w:top w:val="none" w:sz="0" w:space="0" w:color="auto"/>
            <w:left w:val="none" w:sz="0" w:space="0" w:color="auto"/>
            <w:bottom w:val="none" w:sz="0" w:space="0" w:color="auto"/>
            <w:right w:val="none" w:sz="0" w:space="0" w:color="auto"/>
          </w:divBdr>
          <w:divsChild>
            <w:div w:id="1632663389">
              <w:marLeft w:val="0"/>
              <w:marRight w:val="0"/>
              <w:marTop w:val="0"/>
              <w:marBottom w:val="0"/>
              <w:divBdr>
                <w:top w:val="none" w:sz="0" w:space="0" w:color="auto"/>
                <w:left w:val="none" w:sz="0" w:space="0" w:color="auto"/>
                <w:bottom w:val="none" w:sz="0" w:space="0" w:color="auto"/>
                <w:right w:val="none" w:sz="0" w:space="0" w:color="auto"/>
              </w:divBdr>
              <w:divsChild>
                <w:div w:id="16719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5216">
          <w:marLeft w:val="0"/>
          <w:marRight w:val="0"/>
          <w:marTop w:val="0"/>
          <w:marBottom w:val="0"/>
          <w:divBdr>
            <w:top w:val="none" w:sz="0" w:space="0" w:color="auto"/>
            <w:left w:val="none" w:sz="0" w:space="0" w:color="auto"/>
            <w:bottom w:val="none" w:sz="0" w:space="0" w:color="auto"/>
            <w:right w:val="none" w:sz="0" w:space="0" w:color="auto"/>
          </w:divBdr>
          <w:divsChild>
            <w:div w:id="103576512">
              <w:marLeft w:val="0"/>
              <w:marRight w:val="0"/>
              <w:marTop w:val="0"/>
              <w:marBottom w:val="0"/>
              <w:divBdr>
                <w:top w:val="none" w:sz="0" w:space="0" w:color="auto"/>
                <w:left w:val="none" w:sz="0" w:space="0" w:color="auto"/>
                <w:bottom w:val="none" w:sz="0" w:space="0" w:color="auto"/>
                <w:right w:val="none" w:sz="0" w:space="0" w:color="auto"/>
              </w:divBdr>
              <w:divsChild>
                <w:div w:id="15517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26">
          <w:marLeft w:val="0"/>
          <w:marRight w:val="0"/>
          <w:marTop w:val="0"/>
          <w:marBottom w:val="0"/>
          <w:divBdr>
            <w:top w:val="none" w:sz="0" w:space="0" w:color="auto"/>
            <w:left w:val="none" w:sz="0" w:space="0" w:color="auto"/>
            <w:bottom w:val="none" w:sz="0" w:space="0" w:color="auto"/>
            <w:right w:val="none" w:sz="0" w:space="0" w:color="auto"/>
          </w:divBdr>
          <w:divsChild>
            <w:div w:id="858741990">
              <w:marLeft w:val="0"/>
              <w:marRight w:val="0"/>
              <w:marTop w:val="0"/>
              <w:marBottom w:val="0"/>
              <w:divBdr>
                <w:top w:val="none" w:sz="0" w:space="0" w:color="auto"/>
                <w:left w:val="none" w:sz="0" w:space="0" w:color="auto"/>
                <w:bottom w:val="none" w:sz="0" w:space="0" w:color="auto"/>
                <w:right w:val="none" w:sz="0" w:space="0" w:color="auto"/>
              </w:divBdr>
              <w:divsChild>
                <w:div w:id="33072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8467">
          <w:marLeft w:val="0"/>
          <w:marRight w:val="0"/>
          <w:marTop w:val="0"/>
          <w:marBottom w:val="0"/>
          <w:divBdr>
            <w:top w:val="none" w:sz="0" w:space="0" w:color="auto"/>
            <w:left w:val="none" w:sz="0" w:space="0" w:color="auto"/>
            <w:bottom w:val="none" w:sz="0" w:space="0" w:color="auto"/>
            <w:right w:val="none" w:sz="0" w:space="0" w:color="auto"/>
          </w:divBdr>
          <w:divsChild>
            <w:div w:id="1222327765">
              <w:marLeft w:val="0"/>
              <w:marRight w:val="0"/>
              <w:marTop w:val="0"/>
              <w:marBottom w:val="0"/>
              <w:divBdr>
                <w:top w:val="none" w:sz="0" w:space="0" w:color="auto"/>
                <w:left w:val="none" w:sz="0" w:space="0" w:color="auto"/>
                <w:bottom w:val="none" w:sz="0" w:space="0" w:color="auto"/>
                <w:right w:val="none" w:sz="0" w:space="0" w:color="auto"/>
              </w:divBdr>
              <w:divsChild>
                <w:div w:id="16431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3472">
          <w:marLeft w:val="0"/>
          <w:marRight w:val="0"/>
          <w:marTop w:val="0"/>
          <w:marBottom w:val="0"/>
          <w:divBdr>
            <w:top w:val="none" w:sz="0" w:space="0" w:color="auto"/>
            <w:left w:val="none" w:sz="0" w:space="0" w:color="auto"/>
            <w:bottom w:val="none" w:sz="0" w:space="0" w:color="auto"/>
            <w:right w:val="none" w:sz="0" w:space="0" w:color="auto"/>
          </w:divBdr>
          <w:divsChild>
            <w:div w:id="1721444390">
              <w:marLeft w:val="0"/>
              <w:marRight w:val="0"/>
              <w:marTop w:val="0"/>
              <w:marBottom w:val="0"/>
              <w:divBdr>
                <w:top w:val="none" w:sz="0" w:space="0" w:color="auto"/>
                <w:left w:val="none" w:sz="0" w:space="0" w:color="auto"/>
                <w:bottom w:val="none" w:sz="0" w:space="0" w:color="auto"/>
                <w:right w:val="none" w:sz="0" w:space="0" w:color="auto"/>
              </w:divBdr>
              <w:divsChild>
                <w:div w:id="145104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0432">
          <w:marLeft w:val="0"/>
          <w:marRight w:val="0"/>
          <w:marTop w:val="0"/>
          <w:marBottom w:val="0"/>
          <w:divBdr>
            <w:top w:val="none" w:sz="0" w:space="0" w:color="auto"/>
            <w:left w:val="none" w:sz="0" w:space="0" w:color="auto"/>
            <w:bottom w:val="none" w:sz="0" w:space="0" w:color="auto"/>
            <w:right w:val="none" w:sz="0" w:space="0" w:color="auto"/>
          </w:divBdr>
          <w:divsChild>
            <w:div w:id="1698042366">
              <w:marLeft w:val="0"/>
              <w:marRight w:val="0"/>
              <w:marTop w:val="0"/>
              <w:marBottom w:val="0"/>
              <w:divBdr>
                <w:top w:val="none" w:sz="0" w:space="0" w:color="auto"/>
                <w:left w:val="none" w:sz="0" w:space="0" w:color="auto"/>
                <w:bottom w:val="none" w:sz="0" w:space="0" w:color="auto"/>
                <w:right w:val="none" w:sz="0" w:space="0" w:color="auto"/>
              </w:divBdr>
              <w:divsChild>
                <w:div w:id="16298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2324-formation.centralelille.fr/mod/page/view.php?id=5815&amp;forceview=1" TargetMode="External"/><Relationship Id="rId13" Type="http://schemas.openxmlformats.org/officeDocument/2006/relationships/hyperlink" Target="https://moodle2324-formation.centralelille.fr/course/view.php?id=1481" TargetMode="External"/><Relationship Id="rId18" Type="http://schemas.openxmlformats.org/officeDocument/2006/relationships/hyperlink" Target="https://moodle2324-formation.centralelille.fr/mod/page/view.php?id=5815&amp;forceview=1" TargetMode="External"/><Relationship Id="rId3" Type="http://schemas.openxmlformats.org/officeDocument/2006/relationships/settings" Target="settings.xml"/><Relationship Id="rId21" Type="http://schemas.openxmlformats.org/officeDocument/2006/relationships/hyperlink" Target="https://uis.unesco.org/fr/node/4789131" TargetMode="External"/><Relationship Id="rId7" Type="http://schemas.openxmlformats.org/officeDocument/2006/relationships/hyperlink" Target="https://www.bienenseigner.com/les-theories-dapprentissage/" TargetMode="External"/><Relationship Id="rId12" Type="http://schemas.openxmlformats.org/officeDocument/2006/relationships/hyperlink" Target="https://moodle2324-formation.centralelille.fr/mod/page/view.php?id=5815&amp;forceview=1" TargetMode="External"/><Relationship Id="rId17" Type="http://schemas.openxmlformats.org/officeDocument/2006/relationships/hyperlink" Target="https://moodle2324-formation.centralelille.fr/mod/page/view.php?id=5815&amp;forceview=1" TargetMode="External"/><Relationship Id="rId2" Type="http://schemas.openxmlformats.org/officeDocument/2006/relationships/styles" Target="styles.xml"/><Relationship Id="rId16" Type="http://schemas.openxmlformats.org/officeDocument/2006/relationships/hyperlink" Target="https://moodle2324-formation.centralelille.fr/mod/page/view.php?id=5815&amp;forceview=1" TargetMode="External"/><Relationship Id="rId20" Type="http://schemas.openxmlformats.org/officeDocument/2006/relationships/hyperlink" Target="https://moodle2324-formation.centralelille.fr/mod/page/view.php?id=5815&amp;forceview=1" TargetMode="External"/><Relationship Id="rId1" Type="http://schemas.openxmlformats.org/officeDocument/2006/relationships/numbering" Target="numbering.xml"/><Relationship Id="rId6" Type="http://schemas.openxmlformats.org/officeDocument/2006/relationships/hyperlink" Target="https://moodle2324-formation.centralelille.fr/mod/page/view.php?id=5815&amp;forceview=1" TargetMode="External"/><Relationship Id="rId11" Type="http://schemas.openxmlformats.org/officeDocument/2006/relationships/hyperlink" Target="https://www.bienenseigner.com/category/methodes-pedagogiques/" TargetMode="External"/><Relationship Id="rId24" Type="http://schemas.openxmlformats.org/officeDocument/2006/relationships/theme" Target="theme/theme1.xml"/><Relationship Id="rId5" Type="http://schemas.openxmlformats.org/officeDocument/2006/relationships/hyperlink" Target="https://moodle2324-formation.centralelille.fr/mod/page/view.php?id=5815&amp;forceview=1" TargetMode="External"/><Relationship Id="rId15" Type="http://schemas.openxmlformats.org/officeDocument/2006/relationships/hyperlink" Target="https://moodle2324-formation.centralelille.fr/mod/page/view.php?id=5815&amp;forceview=1" TargetMode="External"/><Relationship Id="rId23" Type="http://schemas.openxmlformats.org/officeDocument/2006/relationships/fontTable" Target="fontTable.xml"/><Relationship Id="rId10" Type="http://schemas.openxmlformats.org/officeDocument/2006/relationships/hyperlink" Target="https://moodle2324-formation.centralelille.fr/mod/page/view.php?id=5815&amp;forceview=1" TargetMode="External"/><Relationship Id="rId19" Type="http://schemas.openxmlformats.org/officeDocument/2006/relationships/hyperlink" Target="https://moodle2324-formation.centralelille.fr/mod/page/view.php?id=5815&amp;forceview=1" TargetMode="External"/><Relationship Id="rId4" Type="http://schemas.openxmlformats.org/officeDocument/2006/relationships/webSettings" Target="webSettings.xml"/><Relationship Id="rId9" Type="http://schemas.openxmlformats.org/officeDocument/2006/relationships/hyperlink" Target="https://www.bienenseigner.com/pedagogie-active/" TargetMode="External"/><Relationship Id="rId14" Type="http://schemas.openxmlformats.org/officeDocument/2006/relationships/hyperlink" Target="https://moodle2324-formation.centralelille.fr/mod/page/view.php?id=5815&amp;forceview=1" TargetMode="External"/><Relationship Id="rId22" Type="http://schemas.openxmlformats.org/officeDocument/2006/relationships/hyperlink" Target="https://moodle2324-formation.centralelille.fr/mod/page/view.php?id=5815&amp;forceview=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2224</Words>
  <Characters>12235</Characters>
  <Application>Microsoft Office Word</Application>
  <DocSecurity>0</DocSecurity>
  <Lines>101</Lines>
  <Paragraphs>28</Paragraphs>
  <ScaleCrop>false</ScaleCrop>
  <HeadingPairs>
    <vt:vector size="4" baseType="variant">
      <vt:variant>
        <vt:lpstr>Titre</vt:lpstr>
      </vt:variant>
      <vt:variant>
        <vt:i4>1</vt:i4>
      </vt:variant>
      <vt:variant>
        <vt:lpstr>Titres</vt:lpstr>
      </vt:variant>
      <vt:variant>
        <vt:i4>22</vt:i4>
      </vt:variant>
    </vt:vector>
  </HeadingPairs>
  <TitlesOfParts>
    <vt:vector size="23" baseType="lpstr">
      <vt:lpstr/>
      <vt:lpstr/>
      <vt:lpstr>Besoin identifié</vt:lpstr>
      <vt:lpstr>Problématique</vt:lpstr>
      <vt:lpstr>Proposition en réponse à la problématique</vt:lpstr>
      <vt:lpstr>Théories d'apprentissage</vt:lpstr>
      <vt:lpstr>    HDVELH et behaviorisme </vt:lpstr>
      <vt:lpstr>    HDVELH et socio-constructivisme </vt:lpstr>
      <vt:lpstr>Méthodes pédagogiques</vt:lpstr>
      <vt:lpstr>    Pédagogies actives </vt:lpstr>
      <vt:lpstr>    Apprentissage expérientiel </vt:lpstr>
      <vt:lpstr>Modalité pédagogique</vt:lpstr>
      <vt:lpstr>    Serious game </vt:lpstr>
      <vt:lpstr>Techniques pédagogiques</vt:lpstr>
      <vt:lpstr>    Gamifier - Dégamifier </vt:lpstr>
      <vt:lpstr>    Boucles de pratique-feedback-remédiation </vt:lpstr>
      <vt:lpstr>    Autonomie et engagement </vt:lpstr>
      <vt:lpstr>    Individualisation vs personnalisation </vt:lpstr>
      <vt:lpstr>    Autonomie et engagement </vt:lpstr>
      <vt:lpstr>    Réflexion et métacognition </vt:lpstr>
      <vt:lpstr>Interdisciplinarité</vt:lpstr>
      <vt:lpstr>    Narration numérique </vt:lpstr>
      <vt:lpstr>    Développement des compétences transversales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Debaecker</dc:creator>
  <cp:keywords/>
  <dc:description/>
  <cp:lastModifiedBy>Jean Debaecker</cp:lastModifiedBy>
  <cp:revision>2</cp:revision>
  <dcterms:created xsi:type="dcterms:W3CDTF">2024-04-11T07:10:00Z</dcterms:created>
  <dcterms:modified xsi:type="dcterms:W3CDTF">2024-04-11T08:14:00Z</dcterms:modified>
</cp:coreProperties>
</file>