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Refund policy</w:t>
      </w:r>
    </w:p>
    <w:p>
      <w:r>
        <w:t xml:space="preserve">Refunds are issued within 14 days of purchase with a receipt.</w:t>
      </w:r>
    </w:p>
    <w:p>
      <w:r>
        <w:t xml:space="preserve">Managers may approve exceptions for spoiled goods.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2026-08-03T09:28:00.603Z</dcterms:created>
  <dcterms:modified xsi:type="dcterms:W3CDTF">2026-08-03T09:28:00.604Z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