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E68A00"/>
          <w:sz w:val="56"/>
          <w:szCs w:val="56"/>
        </w:rPr>
        <w:t xml:space="preserve">DABZZO</w:t>
      </w:r>
    </w:p>
    <w:p>
      <w:pPr>
        <w:spacing w:after="500"/>
        <w:jc w:val="center"/>
      </w:pPr>
      <w:r>
        <w:rPr>
          <w:color w:val="64748B"/>
          <w:sz w:val="24"/>
          <w:szCs w:val="24"/>
        </w:rPr>
        <w:t xml:space="preserve">Meal Subscription &amp; Delivery Platform</w:t>
      </w:r>
    </w:p>
    <w:p>
      <w:pPr>
        <w:spacing w:after="120"/>
        <w:jc w:val="center"/>
      </w:pPr>
      <w:r>
        <w:rPr>
          <w:b/>
          <w:bCs/>
          <w:color w:val="0F172A"/>
          <w:sz w:val="40"/>
          <w:szCs w:val="40"/>
        </w:rPr>
        <w:t xml:space="preserve">Codebase Remediation Report</w:t>
      </w:r>
    </w:p>
    <w:p>
      <w:pPr>
        <w:spacing w:after="900"/>
        <w:jc w:val="center"/>
      </w:pPr>
      <w:r>
        <w:rPr>
          <w:color w:val="64748B"/>
          <w:sz w:val="22"/>
          <w:szCs w:val="22"/>
        </w:rPr>
        <w:t xml:space="preserve">Consolidation, Security Hardening, Testing &amp; Deployment Readiness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600"/>
        <w:gridCol w:w="6760"/>
      </w:tblGrid>
      <w:tr>
        <w:trPr>
          <w:tblHeader/>
        </w:trPr>
        <w:tc>
          <w:tcPr>
            <w:tcW w:type="dxa" w:w="2600"/>
            <w:shd w:fill="F1F5F9" w:color="auto" w:val="clear"/>
            <w:tcMar>
              <w:top w:type="dxa" w:w="90"/>
              <w:left w:type="dxa" w:w="130"/>
              <w:bottom w:type="dxa" w:w="90"/>
              <w:right w:type="dxa" w:w="130"/>
            </w:tcMar>
          </w:tcPr>
          <w:p>
            <w:pPr>
              <w:spacing w:after="0" w:line="250"/>
            </w:pPr>
            <w:r>
              <w:rPr>
                <w:b/>
                <w:bCs/>
                <w:color w:val="0F172A"/>
                <w:sz w:val="19"/>
                <w:szCs w:val="19"/>
              </w:rPr>
              <w:t xml:space="preserve"/>
            </w:r>
          </w:p>
        </w:tc>
        <w:tc>
          <w:tcPr>
            <w:tcW w:type="dxa" w:w="6760"/>
            <w:shd w:fill="F1F5F9" w:color="auto" w:val="clear"/>
            <w:tcMar>
              <w:top w:type="dxa" w:w="90"/>
              <w:left w:type="dxa" w:w="130"/>
              <w:bottom w:type="dxa" w:w="90"/>
              <w:right w:type="dxa" w:w="130"/>
            </w:tcMar>
          </w:tcPr>
          <w:p>
            <w:pPr>
              <w:spacing w:after="0" w:line="250"/>
            </w:pPr>
            <w:r>
              <w:rPr>
                <w:b/>
                <w:bCs/>
                <w:color w:val="0F172A"/>
                <w:sz w:val="19"/>
                <w:szCs w:val="19"/>
              </w:rPr>
              <w:t xml:space="preserve"/>
            </w:r>
          </w:p>
        </w:tc>
      </w:tr>
      <w:tr>
        <w:tc>
          <w:tcPr>
            <w:tcW w:type="dxa" w:w="2600"/>
            <w:tcMar>
              <w:top w:type="dxa" w:w="90"/>
              <w:left w:type="dxa" w:w="130"/>
              <w:bottom w:type="dxa" w:w="90"/>
              <w:right w:type="dxa" w:w="130"/>
            </w:tcMar>
          </w:tcPr>
          <w:p>
            <w:pPr>
              <w:spacing w:after="0" w:line="250"/>
            </w:pPr>
            <w:r>
              <w:rPr>
                <w:color w:val="0F172A"/>
                <w:sz w:val="19"/>
                <w:szCs w:val="19"/>
              </w:rPr>
              <w:t xml:space="preserve">Report date</w:t>
            </w:r>
          </w:p>
        </w:tc>
        <w:tc>
          <w:tcPr>
            <w:tcW w:type="dxa" w:w="6760"/>
            <w:tcMar>
              <w:top w:type="dxa" w:w="90"/>
              <w:left w:type="dxa" w:w="130"/>
              <w:bottom w:type="dxa" w:w="90"/>
              <w:right w:type="dxa" w:w="130"/>
            </w:tcMar>
          </w:tcPr>
          <w:p>
            <w:pPr>
              <w:spacing w:after="0" w:line="250"/>
            </w:pPr>
            <w:r>
              <w:rPr>
                <w:color w:val="0F172A"/>
                <w:sz w:val="19"/>
                <w:szCs w:val="19"/>
              </w:rPr>
              <w:t xml:space="preserve">13 September 2026</w:t>
            </w:r>
          </w:p>
        </w:tc>
      </w:tr>
      <w:tr>
        <w:tc>
          <w:tcPr>
            <w:tcW w:type="dxa" w:w="2600"/>
            <w:tcMar>
              <w:top w:type="dxa" w:w="90"/>
              <w:left w:type="dxa" w:w="130"/>
              <w:bottom w:type="dxa" w:w="90"/>
              <w:right w:type="dxa" w:w="130"/>
            </w:tcMar>
          </w:tcPr>
          <w:p>
            <w:pPr>
              <w:spacing w:after="0" w:line="250"/>
            </w:pPr>
            <w:r>
              <w:rPr>
                <w:color w:val="0F172A"/>
                <w:sz w:val="19"/>
                <w:szCs w:val="19"/>
              </w:rPr>
              <w:t xml:space="preserve">Repository</w:t>
            </w:r>
          </w:p>
        </w:tc>
        <w:tc>
          <w:tcPr>
            <w:tcW w:type="dxa" w:w="676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C:\dabzzo\dbz-arch-2-main</w:t>
            </w:r>
          </w:p>
        </w:tc>
      </w:tr>
      <w:tr>
        <w:tc>
          <w:tcPr>
            <w:tcW w:type="dxa" w:w="2600"/>
            <w:tcMar>
              <w:top w:type="dxa" w:w="90"/>
              <w:left w:type="dxa" w:w="130"/>
              <w:bottom w:type="dxa" w:w="90"/>
              <w:right w:type="dxa" w:w="130"/>
            </w:tcMar>
          </w:tcPr>
          <w:p>
            <w:pPr>
              <w:spacing w:after="0" w:line="250"/>
            </w:pPr>
            <w:r>
              <w:rPr>
                <w:color w:val="0F172A"/>
                <w:sz w:val="19"/>
                <w:szCs w:val="19"/>
              </w:rPr>
              <w:t xml:space="preserve">Scope</w:t>
            </w:r>
          </w:p>
        </w:tc>
        <w:tc>
          <w:tcPr>
            <w:tcW w:type="dxa" w:w="6760"/>
            <w:tcMar>
              <w:top w:type="dxa" w:w="90"/>
              <w:left w:type="dxa" w:w="130"/>
              <w:bottom w:type="dxa" w:w="90"/>
              <w:right w:type="dxa" w:w="130"/>
            </w:tcMar>
          </w:tcPr>
          <w:p>
            <w:pPr>
              <w:spacing w:after="0" w:line="250"/>
            </w:pPr>
            <w:r>
              <w:rPr>
                <w:color w:val="0F172A"/>
                <w:sz w:val="19"/>
                <w:szCs w:val="19"/>
              </w:rPr>
              <w:t xml:space="preserve">5 Next.js apps, Cloud Functions, Firestore rules</w:t>
            </w:r>
          </w:p>
        </w:tc>
      </w:tr>
      <w:tr>
        <w:tc>
          <w:tcPr>
            <w:tcW w:type="dxa" w:w="2600"/>
            <w:tcMar>
              <w:top w:type="dxa" w:w="90"/>
              <w:left w:type="dxa" w:w="130"/>
              <w:bottom w:type="dxa" w:w="90"/>
              <w:right w:type="dxa" w:w="130"/>
            </w:tcMar>
          </w:tcPr>
          <w:p>
            <w:pPr>
              <w:spacing w:after="0" w:line="250"/>
            </w:pPr>
            <w:r>
              <w:rPr>
                <w:color w:val="0F172A"/>
                <w:sz w:val="19"/>
                <w:szCs w:val="19"/>
              </w:rPr>
              <w:t xml:space="preserve">Commits</w:t>
            </w:r>
          </w:p>
        </w:tc>
        <w:tc>
          <w:tcPr>
            <w:tcW w:type="dxa" w:w="6760"/>
            <w:tcMar>
              <w:top w:type="dxa" w:w="90"/>
              <w:left w:type="dxa" w:w="130"/>
              <w:bottom w:type="dxa" w:w="90"/>
              <w:right w:type="dxa" w:w="130"/>
            </w:tcMar>
          </w:tcPr>
          <w:p>
            <w:pPr>
              <w:spacing w:after="0" w:line="250"/>
            </w:pPr>
            <w:r>
              <w:rPr>
                <w:b/>
                <w:bCs/>
                <w:color w:val="0F172A"/>
                <w:sz w:val="19"/>
                <w:szCs w:val="19"/>
              </w:rPr>
              <w:t xml:space="preserve">31</w:t>
            </w:r>
          </w:p>
        </w:tc>
      </w:tr>
      <w:tr>
        <w:tc>
          <w:tcPr>
            <w:tcW w:type="dxa" w:w="2600"/>
            <w:tcMar>
              <w:top w:type="dxa" w:w="90"/>
              <w:left w:type="dxa" w:w="130"/>
              <w:bottom w:type="dxa" w:w="90"/>
              <w:right w:type="dxa" w:w="130"/>
            </w:tcMar>
          </w:tcPr>
          <w:p>
            <w:pPr>
              <w:spacing w:after="0" w:line="250"/>
            </w:pPr>
            <w:r>
              <w:rPr>
                <w:color w:val="0F172A"/>
                <w:sz w:val="19"/>
                <w:szCs w:val="19"/>
              </w:rPr>
              <w:t xml:space="preserve">Net change</w:t>
            </w:r>
          </w:p>
        </w:tc>
        <w:tc>
          <w:tcPr>
            <w:tcW w:type="dxa" w:w="6760"/>
            <w:tcMar>
              <w:top w:type="dxa" w:w="90"/>
              <w:left w:type="dxa" w:w="130"/>
              <w:bottom w:type="dxa" w:w="90"/>
              <w:right w:type="dxa" w:w="130"/>
            </w:tcMar>
          </w:tcPr>
          <w:p>
            <w:pPr>
              <w:spacing w:after="0" w:line="250"/>
            </w:pPr>
            <w:r>
              <w:rPr>
                <w:b/>
                <w:bCs/>
                <w:color w:val="0F172A"/>
                <w:sz w:val="19"/>
                <w:szCs w:val="19"/>
              </w:rPr>
              <w:t xml:space="preserve">−51,195 lines (10,234 added / 61,429 removed)</w:t>
            </w:r>
          </w:p>
        </w:tc>
      </w:tr>
      <w:tr>
        <w:tc>
          <w:tcPr>
            <w:tcW w:type="dxa" w:w="2600"/>
            <w:tcMar>
              <w:top w:type="dxa" w:w="90"/>
              <w:left w:type="dxa" w:w="130"/>
              <w:bottom w:type="dxa" w:w="90"/>
              <w:right w:type="dxa" w:w="130"/>
            </w:tcMar>
          </w:tcPr>
          <w:p>
            <w:pPr>
              <w:spacing w:after="0" w:line="250"/>
            </w:pPr>
            <w:r>
              <w:rPr>
                <w:color w:val="0F172A"/>
                <w:sz w:val="19"/>
                <w:szCs w:val="19"/>
              </w:rPr>
              <w:t xml:space="preserve">Status</w:t>
            </w:r>
          </w:p>
        </w:tc>
        <w:tc>
          <w:tcPr>
            <w:tcW w:type="dxa" w:w="6760"/>
            <w:tcMar>
              <w:top w:type="dxa" w:w="90"/>
              <w:left w:type="dxa" w:w="130"/>
              <w:bottom w:type="dxa" w:w="90"/>
              <w:right w:type="dxa" w:w="130"/>
            </w:tcMar>
          </w:tcPr>
          <w:p>
            <w:pPr>
              <w:spacing w:after="0" w:line="250"/>
            </w:pPr>
            <w:r>
              <w:rPr>
                <w:b/>
                <w:bCs/>
                <w:color w:val="B91C1C"/>
                <w:sz w:val="19"/>
                <w:szCs w:val="19"/>
              </w:rPr>
              <w:t xml:space="preserve">Not yet deployed — blockers listed in §9</w:t>
            </w:r>
          </w:p>
        </w:tc>
      </w:tr>
    </w:tbl>
    <w:p>
      <w:r>
        <w:br w:type="page"/>
      </w:r>
    </w:p>
    <w:p>
      <w:pPr>
        <w:pStyle w:val="Heading1"/>
        <w:spacing w:after="180" w:before="360"/>
      </w:pPr>
      <w:r>
        <w:rPr>
          <w:b/>
          <w:bCs/>
          <w:color w:val="0F172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0F172A"/>
          <w:sz w:val="32"/>
          <w:szCs w:val="32"/>
        </w:rPr>
        <w:t xml:space="preserve">1. Executive Summary</w:t>
      </w:r>
    </w:p>
    <w:p>
      <w:pPr>
        <w:spacing w:after="140" w:line="276"/>
      </w:pPr>
      <w:r>
        <w:rPr>
          <w:color w:val="0F172A"/>
          <w:sz w:val="21"/>
          <w:szCs w:val="21"/>
        </w:rPr>
        <w:t xml:space="preserve">This report covers a full remediation pass over the Dabzzo codebase: a monorepo of five Next.js applications sharing a Firebase backend, packaged for Android and iOS via Capacitor.</w:t>
      </w:r>
    </w:p>
    <w:p>
      <w:pPr>
        <w:spacing w:after="140" w:line="276"/>
      </w:pPr>
      <w:r>
        <w:rPr>
          <w:color w:val="0F172A"/>
          <w:sz w:val="21"/>
          <w:szCs w:val="21"/>
        </w:rPr>
        <w:t xml:space="preserve">The work removed roughly 51,000 lines net, consolidated the architecture behind five shared packages, closed several genuine security gaps, more than doubled backend test coverage, and rewrote the project documentation. Every change was verified with a typecheck, the test suite, and a real production build before being committed.</w:t>
      </w:r>
    </w:p>
    <w:p>
      <w:pPr>
        <w:pStyle w:val="Heading2"/>
        <w:spacing w:after="140" w:before="280"/>
      </w:pPr>
      <w:r>
        <w:rPr>
          <w:b/>
          <w:bCs/>
          <w:color w:val="E68A00"/>
          <w:sz w:val="25"/>
          <w:szCs w:val="25"/>
        </w:rPr>
        <w:t xml:space="preserve">Headline outcomes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000"/>
        <w:gridCol w:w="3180"/>
        <w:gridCol w:w="3180"/>
      </w:tblGrid>
      <w:tr>
        <w:trPr>
          <w:tblHeader/>
        </w:trPr>
        <w:tc>
          <w:tcPr>
            <w:tcW w:type="dxa" w:w="3000"/>
            <w:shd w:fill="F1F5F9" w:color="auto" w:val="clear"/>
            <w:tcMar>
              <w:top w:type="dxa" w:w="90"/>
              <w:left w:type="dxa" w:w="130"/>
              <w:bottom w:type="dxa" w:w="90"/>
              <w:right w:type="dxa" w:w="130"/>
            </w:tcMar>
          </w:tcPr>
          <w:p>
            <w:pPr>
              <w:spacing w:after="0" w:line="250"/>
            </w:pPr>
            <w:r>
              <w:rPr>
                <w:b/>
                <w:bCs/>
                <w:color w:val="0F172A"/>
                <w:sz w:val="19"/>
                <w:szCs w:val="19"/>
              </w:rPr>
              <w:t xml:space="preserve">Area</w:t>
            </w:r>
          </w:p>
        </w:tc>
        <w:tc>
          <w:tcPr>
            <w:tcW w:type="dxa" w:w="3180"/>
            <w:shd w:fill="F1F5F9" w:color="auto" w:val="clear"/>
            <w:tcMar>
              <w:top w:type="dxa" w:w="90"/>
              <w:left w:type="dxa" w:w="130"/>
              <w:bottom w:type="dxa" w:w="90"/>
              <w:right w:type="dxa" w:w="130"/>
            </w:tcMar>
          </w:tcPr>
          <w:p>
            <w:pPr>
              <w:spacing w:after="0" w:line="250"/>
            </w:pPr>
            <w:r>
              <w:rPr>
                <w:b/>
                <w:bCs/>
                <w:color w:val="0F172A"/>
                <w:sz w:val="19"/>
                <w:szCs w:val="19"/>
              </w:rPr>
              <w:t xml:space="preserve">Before</w:t>
            </w:r>
          </w:p>
        </w:tc>
        <w:tc>
          <w:tcPr>
            <w:tcW w:type="dxa" w:w="3180"/>
            <w:shd w:fill="F1F5F9" w:color="auto" w:val="clear"/>
            <w:tcMar>
              <w:top w:type="dxa" w:w="90"/>
              <w:left w:type="dxa" w:w="130"/>
              <w:bottom w:type="dxa" w:w="90"/>
              <w:right w:type="dxa" w:w="130"/>
            </w:tcMar>
          </w:tcPr>
          <w:p>
            <w:pPr>
              <w:spacing w:after="0" w:line="250"/>
            </w:pPr>
            <w:r>
              <w:rPr>
                <w:b/>
                <w:bCs/>
                <w:color w:val="0F172A"/>
                <w:sz w:val="19"/>
                <w:szCs w:val="19"/>
              </w:rPr>
              <w:t xml:space="preserve">After</w:t>
            </w:r>
          </w:p>
        </w:tc>
      </w:tr>
      <w:tr>
        <w:tc>
          <w:tcPr>
            <w:tcW w:type="dxa" w:w="3000"/>
            <w:tcMar>
              <w:top w:type="dxa" w:w="90"/>
              <w:left w:type="dxa" w:w="130"/>
              <w:bottom w:type="dxa" w:w="90"/>
              <w:right w:type="dxa" w:w="130"/>
            </w:tcMar>
          </w:tcPr>
          <w:p>
            <w:pPr>
              <w:spacing w:after="0" w:line="250"/>
            </w:pPr>
            <w:r>
              <w:rPr>
                <w:color w:val="0F172A"/>
                <w:sz w:val="19"/>
                <w:szCs w:val="19"/>
              </w:rPr>
              <w:t xml:space="preserve">Duplicated files across apps</w:t>
            </w:r>
          </w:p>
        </w:tc>
        <w:tc>
          <w:tcPr>
            <w:tcW w:type="dxa" w:w="3180"/>
            <w:tcMar>
              <w:top w:type="dxa" w:w="90"/>
              <w:left w:type="dxa" w:w="130"/>
              <w:bottom w:type="dxa" w:w="90"/>
              <w:right w:type="dxa" w:w="130"/>
            </w:tcMar>
          </w:tcPr>
          <w:p>
            <w:pPr>
              <w:spacing w:after="0" w:line="250"/>
            </w:pPr>
            <w:r>
              <w:rPr>
                <w:color w:val="0F172A"/>
                <w:sz w:val="19"/>
                <w:szCs w:val="19"/>
              </w:rPr>
              <w:t xml:space="preserve">117 (39 drifted into 2–4 versions)</w:t>
            </w:r>
          </w:p>
        </w:tc>
        <w:tc>
          <w:tcPr>
            <w:tcW w:type="dxa" w:w="3180"/>
            <w:tcMar>
              <w:top w:type="dxa" w:w="90"/>
              <w:left w:type="dxa" w:w="130"/>
              <w:bottom w:type="dxa" w:w="90"/>
              <w:right w:type="dxa" w:w="130"/>
            </w:tcMar>
          </w:tcPr>
          <w:p>
            <w:pPr>
              <w:spacing w:after="0" w:line="250"/>
            </w:pPr>
            <w:r>
              <w:rPr>
                <w:b/>
                <w:bCs/>
                <w:color w:val="0F172A"/>
                <w:sz w:val="19"/>
                <w:szCs w:val="19"/>
              </w:rPr>
              <w:t xml:space="preserve">0 — five shared packages</w:t>
            </w:r>
          </w:p>
        </w:tc>
      </w:tr>
      <w:tr>
        <w:tc>
          <w:tcPr>
            <w:tcW w:type="dxa" w:w="3000"/>
            <w:tcMar>
              <w:top w:type="dxa" w:w="90"/>
              <w:left w:type="dxa" w:w="130"/>
              <w:bottom w:type="dxa" w:w="90"/>
              <w:right w:type="dxa" w:w="130"/>
            </w:tcMar>
          </w:tcPr>
          <w:p>
            <w:pPr>
              <w:spacing w:after="0" w:line="250"/>
            </w:pPr>
            <w:r>
              <w:rPr>
                <w:color w:val="0F172A"/>
                <w:sz w:val="19"/>
                <w:szCs w:val="19"/>
              </w:rPr>
              <w:t xml:space="preserve">Backend tests</w:t>
            </w:r>
          </w:p>
        </w:tc>
        <w:tc>
          <w:tcPr>
            <w:tcW w:type="dxa" w:w="3180"/>
            <w:tcMar>
              <w:top w:type="dxa" w:w="90"/>
              <w:left w:type="dxa" w:w="130"/>
              <w:bottom w:type="dxa" w:w="90"/>
              <w:right w:type="dxa" w:w="130"/>
            </w:tcMar>
          </w:tcPr>
          <w:p>
            <w:pPr>
              <w:spacing w:after="0" w:line="250"/>
            </w:pPr>
            <w:r>
              <w:rPr>
                <w:color w:val="0F172A"/>
                <w:sz w:val="19"/>
                <w:szCs w:val="19"/>
              </w:rPr>
              <w:t xml:space="preserve">47 across 3 suites</w:t>
            </w:r>
          </w:p>
        </w:tc>
        <w:tc>
          <w:tcPr>
            <w:tcW w:type="dxa" w:w="3180"/>
            <w:tcMar>
              <w:top w:type="dxa" w:w="90"/>
              <w:left w:type="dxa" w:w="130"/>
              <w:bottom w:type="dxa" w:w="90"/>
              <w:right w:type="dxa" w:w="130"/>
            </w:tcMar>
          </w:tcPr>
          <w:p>
            <w:pPr>
              <w:spacing w:after="0" w:line="250"/>
            </w:pPr>
            <w:r>
              <w:rPr>
                <w:b/>
                <w:bCs/>
                <w:color w:val="0F172A"/>
                <w:sz w:val="19"/>
                <w:szCs w:val="19"/>
              </w:rPr>
              <w:t xml:space="preserve">99 across 7 suites</w:t>
            </w:r>
          </w:p>
        </w:tc>
      </w:tr>
      <w:tr>
        <w:tc>
          <w:tcPr>
            <w:tcW w:type="dxa" w:w="3000"/>
            <w:tcMar>
              <w:top w:type="dxa" w:w="90"/>
              <w:left w:type="dxa" w:w="130"/>
              <w:bottom w:type="dxa" w:w="90"/>
              <w:right w:type="dxa" w:w="130"/>
            </w:tcMar>
          </w:tcPr>
          <w:p>
            <w:pPr>
              <w:spacing w:after="0" w:line="250"/>
            </w:pPr>
            <w:r>
              <w:rPr>
                <w:color w:val="0F172A"/>
                <w:sz w:val="19"/>
                <w:szCs w:val="19"/>
              </w:rPr>
              <w:t xml:space="preserve">Lint problems</w:t>
            </w:r>
          </w:p>
        </w:tc>
        <w:tc>
          <w:tcPr>
            <w:tcW w:type="dxa" w:w="3180"/>
            <w:tcMar>
              <w:top w:type="dxa" w:w="90"/>
              <w:left w:type="dxa" w:w="130"/>
              <w:bottom w:type="dxa" w:w="90"/>
              <w:right w:type="dxa" w:w="130"/>
            </w:tcMar>
          </w:tcPr>
          <w:p>
            <w:pPr>
              <w:spacing w:after="0" w:line="250"/>
            </w:pPr>
            <w:r>
              <w:rPr>
                <w:color w:val="0F172A"/>
                <w:sz w:val="19"/>
                <w:szCs w:val="19"/>
              </w:rPr>
              <w:t xml:space="preserve">1,772</w:t>
            </w:r>
          </w:p>
        </w:tc>
        <w:tc>
          <w:tcPr>
            <w:tcW w:type="dxa" w:w="3180"/>
            <w:tcMar>
              <w:top w:type="dxa" w:w="90"/>
              <w:left w:type="dxa" w:w="130"/>
              <w:bottom w:type="dxa" w:w="90"/>
              <w:right w:type="dxa" w:w="130"/>
            </w:tcMar>
          </w:tcPr>
          <w:p>
            <w:pPr>
              <w:spacing w:after="0" w:line="250"/>
            </w:pPr>
            <w:r>
              <w:rPr>
                <w:b/>
                <w:bCs/>
                <w:color w:val="0F172A"/>
                <w:sz w:val="19"/>
                <w:szCs w:val="19"/>
              </w:rPr>
              <w:t xml:space="preserve">~1,000 (correctness rules cleared)</w:t>
            </w:r>
          </w:p>
        </w:tc>
      </w:tr>
      <w:tr>
        <w:tc>
          <w:tcPr>
            <w:tcW w:type="dxa" w:w="3000"/>
            <w:tcMar>
              <w:top w:type="dxa" w:w="90"/>
              <w:left w:type="dxa" w:w="130"/>
              <w:bottom w:type="dxa" w:w="90"/>
              <w:right w:type="dxa" w:w="130"/>
            </w:tcMar>
          </w:tcPr>
          <w:p>
            <w:pPr>
              <w:spacing w:after="0" w:line="250"/>
            </w:pPr>
            <w:r>
              <w:rPr>
                <w:color w:val="0F172A"/>
                <w:sz w:val="19"/>
                <w:szCs w:val="19"/>
              </w:rPr>
              <w:t xml:space="preserve">Hardcoded live secrets</w:t>
            </w:r>
          </w:p>
        </w:tc>
        <w:tc>
          <w:tcPr>
            <w:tcW w:type="dxa" w:w="3180"/>
            <w:tcMar>
              <w:top w:type="dxa" w:w="90"/>
              <w:left w:type="dxa" w:w="130"/>
              <w:bottom w:type="dxa" w:w="90"/>
              <w:right w:type="dxa" w:w="130"/>
            </w:tcMar>
          </w:tcPr>
          <w:p>
            <w:pPr>
              <w:spacing w:after="0" w:line="250"/>
            </w:pPr>
            <w:r>
              <w:rPr>
                <w:color w:val="0F172A"/>
                <w:sz w:val="19"/>
                <w:szCs w:val="19"/>
              </w:rPr>
              <w:t xml:space="preserve">3 in source</w:t>
            </w:r>
          </w:p>
        </w:tc>
        <w:tc>
          <w:tcPr>
            <w:tcW w:type="dxa" w:w="3180"/>
            <w:tcMar>
              <w:top w:type="dxa" w:w="90"/>
              <w:left w:type="dxa" w:w="130"/>
              <w:bottom w:type="dxa" w:w="90"/>
              <w:right w:type="dxa" w:w="130"/>
            </w:tcMar>
          </w:tcPr>
          <w:p>
            <w:pPr>
              <w:spacing w:after="0" w:line="250"/>
            </w:pPr>
            <w:r>
              <w:rPr>
                <w:b/>
                <w:bCs/>
                <w:color w:val="0F172A"/>
                <w:sz w:val="19"/>
                <w:szCs w:val="19"/>
              </w:rPr>
              <w:t xml:space="preserve">0</w:t>
            </w:r>
          </w:p>
        </w:tc>
      </w:tr>
      <w:tr>
        <w:tc>
          <w:tcPr>
            <w:tcW w:type="dxa" w:w="3000"/>
            <w:tcMar>
              <w:top w:type="dxa" w:w="90"/>
              <w:left w:type="dxa" w:w="130"/>
              <w:bottom w:type="dxa" w:w="90"/>
              <w:right w:type="dxa" w:w="130"/>
            </w:tcMar>
          </w:tcPr>
          <w:p>
            <w:pPr>
              <w:spacing w:after="0" w:line="250"/>
            </w:pPr>
            <w:r>
              <w:rPr>
                <w:color w:val="0F172A"/>
                <w:sz w:val="19"/>
                <w:szCs w:val="19"/>
              </w:rPr>
              <w:t xml:space="preserve">Authenticated payment routes</w:t>
            </w:r>
          </w:p>
        </w:tc>
        <w:tc>
          <w:tcPr>
            <w:tcW w:type="dxa" w:w="3180"/>
            <w:tcMar>
              <w:top w:type="dxa" w:w="90"/>
              <w:left w:type="dxa" w:w="130"/>
              <w:bottom w:type="dxa" w:w="90"/>
              <w:right w:type="dxa" w:w="130"/>
            </w:tcMar>
          </w:tcPr>
          <w:p>
            <w:pPr>
              <w:spacing w:after="0" w:line="250"/>
            </w:pPr>
            <w:r>
              <w:rPr>
                <w:color w:val="0F172A"/>
                <w:sz w:val="19"/>
                <w:szCs w:val="19"/>
              </w:rPr>
              <w:t xml:space="preserve">None</w:t>
            </w:r>
          </w:p>
        </w:tc>
        <w:tc>
          <w:tcPr>
            <w:tcW w:type="dxa" w:w="3180"/>
            <w:tcMar>
              <w:top w:type="dxa" w:w="90"/>
              <w:left w:type="dxa" w:w="130"/>
              <w:bottom w:type="dxa" w:w="90"/>
              <w:right w:type="dxa" w:w="130"/>
            </w:tcMar>
          </w:tcPr>
          <w:p>
            <w:pPr>
              <w:spacing w:after="0" w:line="250"/>
            </w:pPr>
            <w:r>
              <w:rPr>
                <w:b/>
                <w:bCs/>
                <w:color w:val="0F172A"/>
                <w:sz w:val="19"/>
                <w:szCs w:val="19"/>
              </w:rPr>
              <w:t xml:space="preserve">All resource-creating routes</w:t>
            </w:r>
          </w:p>
        </w:tc>
      </w:tr>
      <w:tr>
        <w:tc>
          <w:tcPr>
            <w:tcW w:type="dxa" w:w="3000"/>
            <w:tcMar>
              <w:top w:type="dxa" w:w="90"/>
              <w:left w:type="dxa" w:w="130"/>
              <w:bottom w:type="dxa" w:w="90"/>
              <w:right w:type="dxa" w:w="130"/>
            </w:tcMar>
          </w:tcPr>
          <w:p>
            <w:pPr>
              <w:spacing w:after="0" w:line="250"/>
            </w:pPr>
            <w:r>
              <w:rPr>
                <w:color w:val="0F172A"/>
                <w:sz w:val="19"/>
                <w:szCs w:val="19"/>
              </w:rPr>
              <w:t xml:space="preserve">Version control</w:t>
            </w:r>
          </w:p>
        </w:tc>
        <w:tc>
          <w:tcPr>
            <w:tcW w:type="dxa" w:w="3180"/>
            <w:tcMar>
              <w:top w:type="dxa" w:w="90"/>
              <w:left w:type="dxa" w:w="130"/>
              <w:bottom w:type="dxa" w:w="90"/>
              <w:right w:type="dxa" w:w="130"/>
            </w:tcMar>
          </w:tcPr>
          <w:p>
            <w:pPr>
              <w:spacing w:after="0" w:line="250"/>
            </w:pPr>
            <w:r>
              <w:rPr>
                <w:color w:val="0F172A"/>
                <w:sz w:val="19"/>
                <w:szCs w:val="19"/>
              </w:rPr>
              <w:t xml:space="preserve">No repository</w:t>
            </w:r>
          </w:p>
        </w:tc>
        <w:tc>
          <w:tcPr>
            <w:tcW w:type="dxa" w:w="3180"/>
            <w:tcMar>
              <w:top w:type="dxa" w:w="90"/>
              <w:left w:type="dxa" w:w="130"/>
              <w:bottom w:type="dxa" w:w="90"/>
              <w:right w:type="dxa" w:w="130"/>
            </w:tcMar>
          </w:tcPr>
          <w:p>
            <w:pPr>
              <w:spacing w:after="0" w:line="250"/>
            </w:pPr>
            <w:r>
              <w:rPr>
                <w:b/>
                <w:bCs/>
                <w:color w:val="0F172A"/>
                <w:sz w:val="19"/>
                <w:szCs w:val="19"/>
              </w:rPr>
              <w:t xml:space="preserve">31 commits</w:t>
            </w:r>
          </w:p>
        </w:tc>
      </w:tr>
    </w:tbl>
    <w:p>
      <w:pPr>
        <w:spacing w:after="160"/>
      </w:pPr>
    </w:p>
    <w:tbl>
      <w:tblPr>
        <w:tblW w:type="dxa" w:w="9360"/>
        <w:tblBorders>
          <w:top w:val="single" w:color="E68A00" w:sz="2"/>
          <w:left w:val="single" w:color="E68A00" w:sz="18"/>
          <w:bottom w:val="single" w:color="E68A00" w:sz="2"/>
          <w:right w:val="single" w:color="E68A00" w:sz="2"/>
          <w:insideH w:val="none"/>
          <w:insideV w:val="none"/>
        </w:tblBorders>
      </w:tblPr>
      <w:tblGrid>
        <w:gridCol w:w="9360"/>
      </w:tblGrid>
      <w:tr>
        <w:tc>
          <w:tcPr>
            <w:tcW w:type="dxa" w:w="9360"/>
            <w:shd w:fill="FFF7ED" w:color="auto" w:val="clear"/>
            <w:tcMar>
              <w:top w:type="dxa" w:w="150"/>
              <w:left w:type="dxa" w:w="200"/>
              <w:bottom w:type="dxa" w:w="150"/>
              <w:right w:type="dxa" w:w="200"/>
            </w:tcMar>
          </w:tcPr>
          <w:p>
            <w:pPr>
              <w:spacing w:after="70"/>
            </w:pPr>
            <w:r>
              <w:rPr>
                <w:b/>
                <w:bCs/>
                <w:color w:val="E68A00"/>
                <w:sz w:val="21"/>
                <w:szCs w:val="21"/>
              </w:rPr>
              <w:t xml:space="preserve">The central finding</w:t>
            </w:r>
          </w:p>
          <w:p>
            <w:pPr>
              <w:spacing w:after="60" w:line="270"/>
            </w:pPr>
            <w:r>
              <w:rPr>
                <w:color w:val="0F172A"/>
                <w:sz w:val="20"/>
                <w:szCs w:val="20"/>
              </w:rPr>
              <w:t xml:space="preserve">The four role applications were originally created by copying one into the other three. Every app therefore received every file, and the copies then drifted independently.</w:t>
            </w:r>
          </w:p>
          <w:p>
            <w:pPr>
              <w:spacing w:after="60" w:line="270"/>
            </w:pPr>
            <w:r>
              <w:rPr>
                <w:color w:val="0F172A"/>
                <w:sz w:val="20"/>
                <w:szCs w:val="20"/>
              </w:rPr>
              <w:t xml:space="preserve">By the time of this review there were four different definitions of what a user is, four different authentication guards, and pricing logic that disagreed with the server about what to charge a customer. Consolidating those forks is what surfaced most of the defects in this report — none of them were visible from inside any single app.</w:t>
            </w:r>
          </w:p>
        </w:tc>
      </w:tr>
    </w:tbl>
    <w:p>
      <w:r>
        <w:br w:type="page"/>
      </w:r>
    </w:p>
    <w:p>
      <w:pPr>
        <w:pStyle w:val="Heading1"/>
        <w:spacing w:after="180" w:before="360"/>
      </w:pPr>
      <w:r>
        <w:rPr>
          <w:b/>
          <w:bCs/>
          <w:color w:val="0F172A"/>
          <w:sz w:val="32"/>
          <w:szCs w:val="32"/>
        </w:rPr>
        <w:t xml:space="preserve">2. Defects Found and Fixed</w:t>
      </w:r>
    </w:p>
    <w:p>
      <w:pPr>
        <w:spacing w:after="140" w:line="276"/>
      </w:pPr>
      <w:r>
        <w:rPr>
          <w:color w:val="0F172A"/>
          <w:sz w:val="21"/>
          <w:szCs w:val="21"/>
        </w:rPr>
        <w:t xml:space="preserve">Listed by severity. Each was found during the work rather than reported in advance.</w:t>
      </w:r>
    </w:p>
    <w:p>
      <w:pPr>
        <w:pStyle w:val="Heading2"/>
        <w:spacing w:after="140" w:before="280"/>
      </w:pPr>
      <w:r>
        <w:rPr>
          <w:b/>
          <w:bCs/>
          <w:color w:val="E68A00"/>
          <w:sz w:val="25"/>
          <w:szCs w:val="25"/>
        </w:rPr>
        <w:t xml:space="preserve">2.1 Critical — live payment credentials in source code</w:t>
      </w:r>
    </w:p>
    <w:p>
      <w:pPr>
        <w:spacing w:after="140" w:line="276"/>
      </w:pPr>
      <w:r>
        <w:rPr>
          <w:rFonts w:ascii="Consolas" w:cs="Consolas" w:eastAsia="Consolas" w:hAnsi="Consolas"/>
          <w:color w:val="0F172A"/>
          <w:sz w:val="21"/>
          <w:szCs w:val="21"/>
        </w:rPr>
        <w:t xml:space="preserve">functions/src/razorpayFunctions.ts</w:t>
      </w:r>
      <w:r>
        <w:rPr>
          <w:color w:val="0F172A"/>
          <w:sz w:val="21"/>
          <w:szCs w:val="21"/>
        </w:rPr>
        <w:t xml:space="preserve"> contained three hardcoded live secrets as fallback values: the Razorpay key ID, the API key secret, and the webhook signing secret. The key ID carried the </w:t>
      </w:r>
      <w:r>
        <w:rPr>
          <w:rFonts w:ascii="Consolas" w:cs="Consolas" w:eastAsia="Consolas" w:hAnsi="Consolas"/>
          <w:color w:val="0F172A"/>
          <w:sz w:val="21"/>
          <w:szCs w:val="21"/>
        </w:rPr>
        <w:t xml:space="preserve">rzp_live_</w:t>
      </w:r>
      <w:r>
        <w:rPr>
          <w:color w:val="0F172A"/>
          <w:sz w:val="21"/>
          <w:szCs w:val="21"/>
        </w:rPr>
        <w:t xml:space="preserve"> prefix, confirming a production account.</w:t>
      </w:r>
    </w:p>
    <w:p>
      <w:pPr>
        <w:spacing w:after="140" w:line="276"/>
      </w:pPr>
      <w:r>
        <w:rPr>
          <w:color w:val="0F172A"/>
          <w:sz w:val="21"/>
          <w:szCs w:val="21"/>
        </w:rPr>
        <w:t xml:space="preserve">Anyone able to read the source had live payment-gateway access and could forge webhook signatures to fabricate "payment succeeded" events.</w:t>
      </w:r>
    </w:p>
    <w:p>
      <w:pPr>
        <w:pStyle w:val="ListParagraph"/>
        <w:numPr>
          <w:ilvl w:val="0"/>
          <w:numId w:val="2"/>
        </w:numPr>
        <w:spacing w:after="90" w:line="276"/>
      </w:pPr>
      <w:r>
        <w:rPr>
          <w:color w:val="0F172A"/>
          <w:sz w:val="21"/>
          <w:szCs w:val="21"/>
        </w:rPr>
        <w:t xml:space="preserve">Fixed: all three fallbacks removed; a missing value now fails loudly instead of silently authenticating with an exposed literal.</w:t>
      </w:r>
    </w:p>
    <w:p>
      <w:pPr>
        <w:pStyle w:val="ListParagraph"/>
        <w:numPr>
          <w:ilvl w:val="0"/>
          <w:numId w:val="2"/>
        </w:numPr>
        <w:spacing w:after="90" w:line="276"/>
      </w:pPr>
      <w:r>
        <w:rPr>
          <w:b/>
          <w:bCs/>
          <w:color w:val="B91C1C"/>
          <w:sz w:val="21"/>
          <w:szCs w:val="21"/>
        </w:rPr>
        <w:t xml:space="preserve">Outstanding: both secrets must be rotated in the Razorpay dashboard. This cannot be done from the codebase.</w:t>
      </w:r>
    </w:p>
    <w:p>
      <w:pPr>
        <w:pStyle w:val="Heading2"/>
        <w:spacing w:after="140" w:before="280"/>
      </w:pPr>
      <w:r>
        <w:rPr>
          <w:b/>
          <w:bCs/>
          <w:color w:val="E68A00"/>
          <w:sz w:val="25"/>
          <w:szCs w:val="25"/>
        </w:rPr>
        <w:t xml:space="preserve">2.2 Critical — no authentication on any Razorpay route</w:t>
      </w:r>
    </w:p>
    <w:p>
      <w:pPr>
        <w:spacing w:after="140" w:line="276"/>
      </w:pPr>
      <w:r>
        <w:rPr>
          <w:color w:val="0F172A"/>
          <w:sz w:val="21"/>
          <w:szCs w:val="21"/>
        </w:rPr>
        <w:t xml:space="preserve">No route on the payment API verified a caller identity, despite </w:t>
      </w:r>
      <w:r>
        <w:rPr>
          <w:rFonts w:ascii="Consolas" w:cs="Consolas" w:eastAsia="Consolas" w:hAnsi="Consolas"/>
          <w:color w:val="0F172A"/>
          <w:sz w:val="21"/>
          <w:szCs w:val="21"/>
        </w:rPr>
        <w:t xml:space="preserve">README.md</w:t>
      </w:r>
      <w:r>
        <w:rPr>
          <w:color w:val="0F172A"/>
          <w:sz w:val="21"/>
          <w:szCs w:val="21"/>
        </w:rPr>
        <w:t xml:space="preserve"> stating that every route validated a Firebase ID token.</w:t>
      </w:r>
    </w:p>
    <w:p>
      <w:pPr>
        <w:pStyle w:val="ListParagraph"/>
        <w:numPr>
          <w:ilvl w:val="0"/>
          <w:numId w:val="2"/>
        </w:numPr>
        <w:spacing w:after="90" w:line="276"/>
      </w:pPr>
      <w:r>
        <w:rPr>
          <w:rFonts w:ascii="Consolas" w:cs="Consolas" w:eastAsia="Consolas" w:hAnsi="Consolas"/>
          <w:color w:val="0F172A"/>
          <w:sz w:val="21"/>
          <w:szCs w:val="21"/>
        </w:rPr>
        <w:t xml:space="preserve">create-vendor-account</w:t>
      </w:r>
      <w:r>
        <w:rPr>
          <w:color w:val="0F172A"/>
          <w:sz w:val="21"/>
          <w:szCs w:val="21"/>
        </w:rPr>
        <w:t xml:space="preserve"> creates a real Razorpay payout destination and was callable by anyone. It also had zero callers anywhere in the codebase.</w:t>
      </w:r>
    </w:p>
    <w:p>
      <w:pPr>
        <w:pStyle w:val="ListParagraph"/>
        <w:numPr>
          <w:ilvl w:val="0"/>
          <w:numId w:val="2"/>
        </w:numPr>
        <w:spacing w:after="90" w:line="276"/>
      </w:pPr>
      <w:r>
        <w:rPr>
          <w:rFonts w:ascii="Consolas" w:cs="Consolas" w:eastAsia="Consolas" w:hAnsi="Consolas"/>
          <w:color w:val="0F172A"/>
          <w:sz w:val="21"/>
          <w:szCs w:val="21"/>
        </w:rPr>
        <w:t xml:space="preserve">create-subscription</w:t>
      </w:r>
      <w:r>
        <w:rPr>
          <w:color w:val="0F172A"/>
          <w:sz w:val="21"/>
          <w:szCs w:val="21"/>
        </w:rPr>
        <w:t xml:space="preserve"> created real subscriptions without authentication.</w:t>
      </w:r>
    </w:p>
    <w:p>
      <w:pPr>
        <w:pStyle w:val="ListParagraph"/>
        <w:numPr>
          <w:ilvl w:val="0"/>
          <w:numId w:val="2"/>
        </w:numPr>
        <w:spacing w:after="90" w:line="276"/>
      </w:pPr>
      <w:r>
        <w:rPr>
          <w:rFonts w:ascii="Consolas" w:cs="Consolas" w:eastAsia="Consolas" w:hAnsi="Consolas"/>
          <w:color w:val="0F172A"/>
          <w:sz w:val="21"/>
          <w:szCs w:val="21"/>
        </w:rPr>
        <w:t xml:space="preserve">create-order</w:t>
      </w:r>
      <w:r>
        <w:rPr>
          <w:color w:val="0F172A"/>
          <w:sz w:val="21"/>
          <w:szCs w:val="21"/>
        </w:rPr>
        <w:t xml:space="preserve"> was open, though damage was limited by server-side authoritative pricing, which recomputes the amount and prevents a caller setting an arbitrary price.</w:t>
      </w:r>
    </w:p>
    <w:p>
      <w:pPr>
        <w:spacing w:after="140" w:line="276"/>
      </w:pPr>
      <w:r>
        <w:rPr>
          <w:color w:val="0F172A"/>
          <w:sz w:val="21"/>
          <w:szCs w:val="21"/>
        </w:rPr>
        <w:t xml:space="preserve">Fixed: token verification added to all resource-creating routes, with an additional admin-claim requirement on vendor account creation. Signature-gated routes (webhook, payment verification) were deliberately left as they are — Razorpay's servers have no Firebase identity to present.</w:t>
      </w:r>
    </w:p>
    <w:p>
      <w:pPr>
        <w:pStyle w:val="Heading2"/>
        <w:spacing w:after="140" w:before="280"/>
      </w:pPr>
      <w:r>
        <w:rPr>
          <w:b/>
          <w:bCs/>
          <w:color w:val="E68A00"/>
          <w:sz w:val="25"/>
          <w:szCs w:val="25"/>
        </w:rPr>
        <w:t xml:space="preserve">2.3 High — admin and customer apps disagreed on price</w:t>
      </w:r>
    </w:p>
    <w:p>
      <w:pPr>
        <w:spacing w:after="140" w:line="276"/>
      </w:pPr>
      <w:r>
        <w:rPr>
          <w:color w:val="0F172A"/>
          <w:sz w:val="21"/>
          <w:szCs w:val="21"/>
        </w:rPr>
        <w:t xml:space="preserve">The admin console was missing the weekly-plan pricing formula that the customer app and the server-side pricing engine both implement. Verified against </w:t>
      </w:r>
      <w:r>
        <w:rPr>
          <w:rFonts w:ascii="Consolas" w:cs="Consolas" w:eastAsia="Consolas" w:hAnsi="Consolas"/>
          <w:color w:val="0F172A"/>
          <w:sz w:val="21"/>
          <w:szCs w:val="21"/>
        </w:rPr>
        <w:t xml:space="preserve">functions/src/pricingEngine.ts</w:t>
      </w:r>
      <w:r>
        <w:rPr>
          <w:color w:val="0F172A"/>
          <w:sz w:val="21"/>
          <w:szCs w:val="21"/>
        </w:rPr>
        <w:t xml:space="preserve">, which is the actual charging authority: admin displayed weekly prices roughly ₹0.40 per meal below what customers were charged.</w:t>
      </w:r>
    </w:p>
    <w:p>
      <w:pPr>
        <w:pStyle w:val="Heading2"/>
        <w:spacing w:after="140" w:before="280"/>
      </w:pPr>
      <w:r>
        <w:rPr>
          <w:b/>
          <w:bCs/>
          <w:color w:val="E68A00"/>
          <w:sz w:val="25"/>
          <w:szCs w:val="25"/>
        </w:rPr>
        <w:t xml:space="preserve">2.4 High — environment variables undefined in the browser</w:t>
      </w:r>
    </w:p>
    <w:p>
      <w:pPr>
        <w:spacing w:after="140" w:line="276"/>
      </w:pPr>
      <w:r>
        <w:rPr>
          <w:color w:val="0F172A"/>
          <w:sz w:val="21"/>
          <w:szCs w:val="21"/>
        </w:rPr>
        <w:t xml:space="preserve">Introduced during this work and caught only by running the application. The helper that replaced the hardcoded Firebase configuration read </w:t>
      </w:r>
      <w:r>
        <w:rPr>
          <w:rFonts w:ascii="Consolas" w:cs="Consolas" w:eastAsia="Consolas" w:hAnsi="Consolas"/>
          <w:color w:val="0F172A"/>
          <w:sz w:val="21"/>
          <w:szCs w:val="21"/>
        </w:rPr>
        <w:t xml:space="preserve">process.env[name]</w:t>
      </w:r>
      <w:r>
        <w:rPr>
          <w:color w:val="0F172A"/>
          <w:sz w:val="21"/>
          <w:szCs w:val="21"/>
        </w:rPr>
        <w:t xml:space="preserve"> using a dynamic key. Next.js exposes public variables to the browser by textually substituting the literal expression at build time, so a computed key produces nothing to substitute.</w:t>
      </w:r>
    </w:p>
    <w:p>
      <w:pPr>
        <w:spacing w:after="140" w:line="276"/>
      </w:pPr>
      <w:r>
        <w:rPr>
          <w:color w:val="0F172A"/>
          <w:sz w:val="21"/>
          <w:szCs w:val="21"/>
        </w:rPr>
        <w:t xml:space="preserve">The value therefore existed on the server and was undefined in the browser. Typecheck passed, lint passed, and all five production builds passed, because static-export prerendering runs server-side. Every app threw on load in a real browser.</w:t>
      </w:r>
    </w:p>
    <w:p>
      <w:pPr>
        <w:pStyle w:val="Heading2"/>
        <w:spacing w:after="140" w:before="280"/>
      </w:pPr>
      <w:r>
        <w:rPr>
          <w:b/>
          <w:bCs/>
          <w:color w:val="E68A00"/>
          <w:sz w:val="25"/>
          <w:szCs w:val="25"/>
        </w:rPr>
        <w:t xml:space="preserve">2.5 Medium — cross-portal access gap</w:t>
      </w:r>
    </w:p>
    <w:p>
      <w:pPr>
        <w:spacing w:after="140" w:line="276"/>
      </w:pPr>
      <w:r>
        <w:rPr>
          <w:color w:val="0F172A"/>
          <w:sz w:val="21"/>
          <w:szCs w:val="21"/>
        </w:rPr>
        <w:t xml:space="preserve">Each app's authentication guard applied only its own extended-role rule. The vendor and rider portals both admit </w:t>
      </w:r>
      <w:r>
        <w:rPr>
          <w:rFonts w:ascii="Consolas" w:cs="Consolas" w:eastAsia="Consolas" w:hAnsi="Consolas"/>
          <w:color w:val="0F172A"/>
          <w:sz w:val="21"/>
          <w:szCs w:val="21"/>
        </w:rPr>
        <w:t xml:space="preserve">admin</w:t>
      </w:r>
      <w:r>
        <w:rPr>
          <w:color w:val="0F172A"/>
          <w:sz w:val="21"/>
          <w:szCs w:val="21"/>
        </w:rPr>
        <w:t xml:space="preserve">, but neither understood </w:t>
      </w:r>
      <w:r>
        <w:rPr>
          <w:rFonts w:ascii="Consolas" w:cs="Consolas" w:eastAsia="Consolas" w:hAnsi="Consolas"/>
          <w:color w:val="0F172A"/>
          <w:sz w:val="21"/>
          <w:szCs w:val="21"/>
        </w:rPr>
        <w:t xml:space="preserve">role === 'superadmin'</w:t>
      </w:r>
      <w:r>
        <w:rPr>
          <w:color w:val="0F172A"/>
          <w:sz w:val="21"/>
          <w:szCs w:val="21"/>
        </w:rPr>
        <w:t xml:space="preserve"> — only the admin console did. Such a user could reach the admin console and nowhere else.</w:t>
      </w:r>
    </w:p>
    <w:p>
      <w:pPr>
        <w:pStyle w:val="Heading2"/>
        <w:spacing w:after="140" w:before="280"/>
      </w:pPr>
      <w:r>
        <w:rPr>
          <w:b/>
          <w:bCs/>
          <w:color w:val="E68A00"/>
          <w:sz w:val="25"/>
          <w:szCs w:val="25"/>
        </w:rPr>
        <w:t xml:space="preserve">2.6 Medium — build script reported success on failure</w:t>
      </w:r>
    </w:p>
    <w:p>
      <w:pPr>
        <w:spacing w:after="140" w:line="276"/>
      </w:pPr>
      <w:r>
        <w:rPr>
          <w:rFonts w:ascii="Consolas" w:cs="Consolas" w:eastAsia="Consolas" w:hAnsi="Consolas"/>
          <w:color w:val="0F172A"/>
          <w:sz w:val="21"/>
          <w:szCs w:val="21"/>
        </w:rPr>
        <w:t xml:space="preserve">scripts/build-web.mjs</w:t>
      </w:r>
      <w:r>
        <w:rPr>
          <w:color w:val="0F172A"/>
          <w:sz w:val="21"/>
          <w:szCs w:val="21"/>
        </w:rPr>
        <w:t xml:space="preserve"> printed a success banner even when an application's build had failed; it set an exit code but printed regardless. During this work a build genuinely failed for the rider portal and still ended green. An unknown application name also exited zero.</w:t>
      </w:r>
    </w:p>
    <w:p>
      <w:r>
        <w:br w:type="page"/>
      </w:r>
    </w:p>
    <w:p>
      <w:pPr>
        <w:pStyle w:val="Heading2"/>
        <w:spacing w:after="140" w:before="280"/>
      </w:pPr>
      <w:r>
        <w:rPr>
          <w:b/>
          <w:bCs/>
          <w:color w:val="E68A00"/>
          <w:sz w:val="25"/>
          <w:szCs w:val="25"/>
        </w:rPr>
        <w:t xml:space="preserve">2.7 Medium — duplicate security rules, the stale copy labelled "canonical"</w:t>
      </w:r>
    </w:p>
    <w:p>
      <w:pPr>
        <w:spacing w:after="140" w:line="276"/>
      </w:pPr>
      <w:r>
        <w:rPr>
          <w:color w:val="0F172A"/>
          <w:sz w:val="21"/>
          <w:szCs w:val="21"/>
        </w:rPr>
        <w:t xml:space="preserve">Two copies of the Firestore and Storage rules existed. </w:t>
      </w:r>
      <w:r>
        <w:rPr>
          <w:rFonts w:ascii="Consolas" w:cs="Consolas" w:eastAsia="Consolas" w:hAnsi="Consolas"/>
          <w:color w:val="0F172A"/>
          <w:sz w:val="21"/>
          <w:szCs w:val="21"/>
        </w:rPr>
        <w:t xml:space="preserve">firebase.json</w:t>
      </w:r>
      <w:r>
        <w:rPr>
          <w:color w:val="0F172A"/>
          <w:sz w:val="21"/>
          <w:szCs w:val="21"/>
        </w:rPr>
        <w:t xml:space="preserve"> deployed the repository-root copy, while the package copy described itself as canonical and sat 173 lines behind — missing the current admin-bypass chain, the vendor legacy-role fallback, and an entire storage path. Deploying the "canonical" copy would have broken live access.</w:t>
      </w:r>
    </w:p>
    <w:p>
      <w:pPr>
        <w:pStyle w:val="Heading2"/>
        <w:spacing w:after="140" w:before="280"/>
      </w:pPr>
      <w:r>
        <w:rPr>
          <w:b/>
          <w:bCs/>
          <w:color w:val="E68A00"/>
          <w:sz w:val="25"/>
          <w:szCs w:val="25"/>
        </w:rPr>
        <w:t xml:space="preserve">2.8 Medium — security middleware that never ran</w:t>
      </w:r>
    </w:p>
    <w:p>
      <w:pPr>
        <w:spacing w:after="140" w:line="276"/>
      </w:pPr>
      <w:r>
        <w:rPr>
          <w:rFonts w:ascii="Consolas" w:cs="Consolas" w:eastAsia="Consolas" w:hAnsi="Consolas"/>
          <w:color w:val="0F172A"/>
          <w:sz w:val="21"/>
          <w:szCs w:val="21"/>
        </w:rPr>
        <w:t xml:space="preserve">proxy.ts</w:t>
      </w:r>
      <w:r>
        <w:rPr>
          <w:color w:val="0F172A"/>
          <w:sz w:val="21"/>
          <w:szCs w:val="21"/>
        </w:rPr>
        <w:t xml:space="preserve"> implemented a malicious user-agent blocklist, a 2 MB body cap and API rate limiting. None of it executed: the apps build as static exports and are served as files, so no server exists to run middleware. Inert security code is worse than none, because it implies protection that is not present. Removed; the real perimeter is the Cloud Functions layer, hardened in §2.2.</w:t>
      </w:r>
    </w:p>
    <w:p>
      <w:pPr>
        <w:pStyle w:val="Heading2"/>
        <w:spacing w:after="140" w:before="280"/>
      </w:pPr>
      <w:r>
        <w:rPr>
          <w:b/>
          <w:bCs/>
          <w:color w:val="E68A00"/>
          <w:sz w:val="25"/>
          <w:szCs w:val="25"/>
        </w:rPr>
        <w:t xml:space="preserve">2.9 Medium — shared packages were never typechecked or linted</w:t>
      </w:r>
    </w:p>
    <w:p>
      <w:pPr>
        <w:spacing w:after="140" w:line="276"/>
      </w:pPr>
      <w:r>
        <w:rPr>
          <w:color w:val="0F172A"/>
          <w:sz w:val="21"/>
          <w:szCs w:val="21"/>
        </w:rPr>
        <w:t xml:space="preserve">After consolidation the shared packages held most of the real logic, but had no verification scripts, so the pipeline skipped them entirely. Adding those scripts immediately surfaced five genuine bugs, including four dynamic imports left pointing at app-local paths that resolve inside an app and throw inside a package — the subscription and notification paths would have failed at runtime.</w:t>
      </w:r>
    </w:p>
    <w:p>
      <w:pPr>
        <w:pStyle w:val="Heading2"/>
        <w:spacing w:after="140" w:before="280"/>
      </w:pPr>
      <w:r>
        <w:rPr>
          <w:b/>
          <w:bCs/>
          <w:color w:val="E68A00"/>
          <w:sz w:val="25"/>
          <w:szCs w:val="25"/>
        </w:rPr>
        <w:t xml:space="preserve">2.10 Medium — React correctness rules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100"/>
        <w:gridCol w:w="1200"/>
        <w:gridCol w:w="1200"/>
        <w:gridCol w:w="4860"/>
      </w:tblGrid>
      <w:tr>
        <w:trPr>
          <w:tblHeader/>
        </w:trPr>
        <w:tc>
          <w:tcPr>
            <w:tcW w:type="dxa" w:w="2100"/>
            <w:shd w:fill="F1F5F9" w:color="auto" w:val="clear"/>
            <w:tcMar>
              <w:top w:type="dxa" w:w="90"/>
              <w:left w:type="dxa" w:w="130"/>
              <w:bottom w:type="dxa" w:w="90"/>
              <w:right w:type="dxa" w:w="130"/>
            </w:tcMar>
          </w:tcPr>
          <w:p>
            <w:pPr>
              <w:spacing w:after="0" w:line="250"/>
            </w:pPr>
            <w:r>
              <w:rPr>
                <w:b/>
                <w:bCs/>
                <w:color w:val="0F172A"/>
                <w:sz w:val="19"/>
                <w:szCs w:val="19"/>
              </w:rPr>
              <w:t xml:space="preserve">Rule</w:t>
            </w:r>
          </w:p>
        </w:tc>
        <w:tc>
          <w:tcPr>
            <w:tcW w:type="dxa" w:w="1200"/>
            <w:shd w:fill="F1F5F9" w:color="auto" w:val="clear"/>
            <w:tcMar>
              <w:top w:type="dxa" w:w="90"/>
              <w:left w:type="dxa" w:w="130"/>
              <w:bottom w:type="dxa" w:w="90"/>
              <w:right w:type="dxa" w:w="130"/>
            </w:tcMar>
          </w:tcPr>
          <w:p>
            <w:pPr>
              <w:spacing w:after="0" w:line="250"/>
            </w:pPr>
            <w:r>
              <w:rPr>
                <w:b/>
                <w:bCs/>
                <w:color w:val="0F172A"/>
                <w:sz w:val="19"/>
                <w:szCs w:val="19"/>
              </w:rPr>
              <w:t xml:space="preserve">Before</w:t>
            </w:r>
          </w:p>
        </w:tc>
        <w:tc>
          <w:tcPr>
            <w:tcW w:type="dxa" w:w="1200"/>
            <w:shd w:fill="F1F5F9" w:color="auto" w:val="clear"/>
            <w:tcMar>
              <w:top w:type="dxa" w:w="90"/>
              <w:left w:type="dxa" w:w="130"/>
              <w:bottom w:type="dxa" w:w="90"/>
              <w:right w:type="dxa" w:w="130"/>
            </w:tcMar>
          </w:tcPr>
          <w:p>
            <w:pPr>
              <w:spacing w:after="0" w:line="250"/>
            </w:pPr>
            <w:r>
              <w:rPr>
                <w:b/>
                <w:bCs/>
                <w:color w:val="0F172A"/>
                <w:sz w:val="19"/>
                <w:szCs w:val="19"/>
              </w:rPr>
              <w:t xml:space="preserve">After</w:t>
            </w:r>
          </w:p>
        </w:tc>
        <w:tc>
          <w:tcPr>
            <w:tcW w:type="dxa" w:w="4860"/>
            <w:shd w:fill="F1F5F9" w:color="auto" w:val="clear"/>
            <w:tcMar>
              <w:top w:type="dxa" w:w="90"/>
              <w:left w:type="dxa" w:w="130"/>
              <w:bottom w:type="dxa" w:w="90"/>
              <w:right w:type="dxa" w:w="130"/>
            </w:tcMar>
          </w:tcPr>
          <w:p>
            <w:pPr>
              <w:spacing w:after="0" w:line="250"/>
            </w:pPr>
            <w:r>
              <w:rPr>
                <w:b/>
                <w:bCs/>
                <w:color w:val="0F172A"/>
                <w:sz w:val="19"/>
                <w:szCs w:val="19"/>
              </w:rPr>
              <w:t xml:space="preserve">Notes</w:t>
            </w:r>
          </w:p>
        </w:tc>
      </w:tr>
      <w:tr>
        <w:tc>
          <w:tcPr>
            <w:tcW w:type="dxa" w:w="2100"/>
            <w:tcMar>
              <w:top w:type="dxa" w:w="90"/>
              <w:left w:type="dxa" w:w="130"/>
              <w:bottom w:type="dxa" w:w="90"/>
              <w:right w:type="dxa" w:w="130"/>
            </w:tcMar>
          </w:tcPr>
          <w:p>
            <w:pPr>
              <w:spacing w:after="0" w:line="250"/>
            </w:pPr>
            <w:r>
              <w:rPr>
                <w:color w:val="0F172A"/>
                <w:sz w:val="19"/>
                <w:szCs w:val="19"/>
              </w:rPr>
              <w:t xml:space="preserve">purity</w:t>
            </w:r>
          </w:p>
        </w:tc>
        <w:tc>
          <w:tcPr>
            <w:tcW w:type="dxa" w:w="1200"/>
            <w:tcMar>
              <w:top w:type="dxa" w:w="90"/>
              <w:left w:type="dxa" w:w="130"/>
              <w:bottom w:type="dxa" w:w="90"/>
              <w:right w:type="dxa" w:w="130"/>
            </w:tcMar>
          </w:tcPr>
          <w:p>
            <w:pPr>
              <w:spacing w:after="0" w:line="250"/>
            </w:pPr>
            <w:r>
              <w:rPr>
                <w:color w:val="0F172A"/>
                <w:sz w:val="19"/>
                <w:szCs w:val="19"/>
              </w:rPr>
              <w:t xml:space="preserve">8</w:t>
            </w:r>
          </w:p>
        </w:tc>
        <w:tc>
          <w:tcPr>
            <w:tcW w:type="dxa" w:w="1200"/>
            <w:tcMar>
              <w:top w:type="dxa" w:w="90"/>
              <w:left w:type="dxa" w:w="130"/>
              <w:bottom w:type="dxa" w:w="90"/>
              <w:right w:type="dxa" w:w="130"/>
            </w:tcMar>
          </w:tcPr>
          <w:p>
            <w:pPr>
              <w:spacing w:after="0" w:line="250"/>
            </w:pPr>
            <w:r>
              <w:rPr>
                <w:b/>
                <w:bCs/>
                <w:color w:val="047857"/>
                <w:sz w:val="19"/>
                <w:szCs w:val="19"/>
              </w:rPr>
              <w:t xml:space="preserve">0</w:t>
            </w:r>
          </w:p>
        </w:tc>
        <w:tc>
          <w:tcPr>
            <w:tcW w:type="dxa" w:w="4860"/>
            <w:tcMar>
              <w:top w:type="dxa" w:w="90"/>
              <w:left w:type="dxa" w:w="130"/>
              <w:bottom w:type="dxa" w:w="90"/>
              <w:right w:type="dxa" w:w="130"/>
            </w:tcMar>
          </w:tcPr>
          <w:p>
            <w:pPr>
              <w:spacing w:after="0" w:line="250"/>
            </w:pPr>
            <w:r>
              <w:rPr>
                <w:color w:val="0F172A"/>
                <w:sz w:val="19"/>
                <w:szCs w:val="19"/>
              </w:rPr>
              <w:t xml:space="preserve">Two genuine: a random React key forcing remount every render; a render-time clock read</w:t>
            </w:r>
          </w:p>
        </w:tc>
      </w:tr>
      <w:tr>
        <w:tc>
          <w:tcPr>
            <w:tcW w:type="dxa" w:w="2100"/>
            <w:tcMar>
              <w:top w:type="dxa" w:w="90"/>
              <w:left w:type="dxa" w:w="130"/>
              <w:bottom w:type="dxa" w:w="90"/>
              <w:right w:type="dxa" w:w="130"/>
            </w:tcMar>
          </w:tcPr>
          <w:p>
            <w:pPr>
              <w:spacing w:after="0" w:line="250"/>
            </w:pPr>
            <w:r>
              <w:rPr>
                <w:color w:val="0F172A"/>
                <w:sz w:val="19"/>
                <w:szCs w:val="19"/>
              </w:rPr>
              <w:t xml:space="preserve">immutability</w:t>
            </w:r>
          </w:p>
        </w:tc>
        <w:tc>
          <w:tcPr>
            <w:tcW w:type="dxa" w:w="1200"/>
            <w:tcMar>
              <w:top w:type="dxa" w:w="90"/>
              <w:left w:type="dxa" w:w="130"/>
              <w:bottom w:type="dxa" w:w="90"/>
              <w:right w:type="dxa" w:w="130"/>
            </w:tcMar>
          </w:tcPr>
          <w:p>
            <w:pPr>
              <w:spacing w:after="0" w:line="250"/>
            </w:pPr>
            <w:r>
              <w:rPr>
                <w:color w:val="0F172A"/>
                <w:sz w:val="19"/>
                <w:szCs w:val="19"/>
              </w:rPr>
              <w:t xml:space="preserve">13</w:t>
            </w:r>
          </w:p>
        </w:tc>
        <w:tc>
          <w:tcPr>
            <w:tcW w:type="dxa" w:w="1200"/>
            <w:tcMar>
              <w:top w:type="dxa" w:w="90"/>
              <w:left w:type="dxa" w:w="130"/>
              <w:bottom w:type="dxa" w:w="90"/>
              <w:right w:type="dxa" w:w="130"/>
            </w:tcMar>
          </w:tcPr>
          <w:p>
            <w:pPr>
              <w:spacing w:after="0" w:line="250"/>
            </w:pPr>
            <w:r>
              <w:rPr>
                <w:b/>
                <w:bCs/>
                <w:color w:val="047857"/>
                <w:sz w:val="19"/>
                <w:szCs w:val="19"/>
              </w:rPr>
              <w:t xml:space="preserve">0</w:t>
            </w:r>
          </w:p>
        </w:tc>
        <w:tc>
          <w:tcPr>
            <w:tcW w:type="dxa" w:w="4860"/>
            <w:tcMar>
              <w:top w:type="dxa" w:w="90"/>
              <w:left w:type="dxa" w:w="130"/>
              <w:bottom w:type="dxa" w:w="90"/>
              <w:right w:type="dxa" w:w="130"/>
            </w:tcMar>
          </w:tcPr>
          <w:p>
            <w:pPr>
              <w:spacing w:after="0" w:line="250"/>
            </w:pPr>
            <w:r>
              <w:rPr>
                <w:color w:val="0F172A"/>
                <w:sz w:val="19"/>
                <w:szCs w:val="19"/>
              </w:rPr>
              <w:t xml:space="preserve">Eleven were effects calling a loader declared below them</w:t>
            </w:r>
          </w:p>
        </w:tc>
      </w:tr>
      <w:tr>
        <w:tc>
          <w:tcPr>
            <w:tcW w:type="dxa" w:w="2100"/>
            <w:tcMar>
              <w:top w:type="dxa" w:w="90"/>
              <w:left w:type="dxa" w:w="130"/>
              <w:bottom w:type="dxa" w:w="90"/>
              <w:right w:type="dxa" w:w="130"/>
            </w:tcMar>
          </w:tcPr>
          <w:p>
            <w:pPr>
              <w:spacing w:after="0" w:line="250"/>
            </w:pPr>
            <w:r>
              <w:rPr>
                <w:color w:val="0F172A"/>
                <w:sz w:val="19"/>
                <w:szCs w:val="19"/>
              </w:rPr>
              <w:t xml:space="preserve">set-state-in-effect</w:t>
            </w:r>
          </w:p>
        </w:tc>
        <w:tc>
          <w:tcPr>
            <w:tcW w:type="dxa" w:w="1200"/>
            <w:tcMar>
              <w:top w:type="dxa" w:w="90"/>
              <w:left w:type="dxa" w:w="130"/>
              <w:bottom w:type="dxa" w:w="90"/>
              <w:right w:type="dxa" w:w="130"/>
            </w:tcMar>
          </w:tcPr>
          <w:p>
            <w:pPr>
              <w:spacing w:after="0" w:line="250"/>
            </w:pPr>
            <w:r>
              <w:rPr>
                <w:color w:val="0F172A"/>
                <w:sz w:val="19"/>
                <w:szCs w:val="19"/>
              </w:rPr>
              <w:t xml:space="preserve">34</w:t>
            </w:r>
          </w:p>
        </w:tc>
        <w:tc>
          <w:tcPr>
            <w:tcW w:type="dxa" w:w="1200"/>
            <w:tcMar>
              <w:top w:type="dxa" w:w="90"/>
              <w:left w:type="dxa" w:w="130"/>
              <w:bottom w:type="dxa" w:w="90"/>
              <w:right w:type="dxa" w:w="130"/>
            </w:tcMar>
          </w:tcPr>
          <w:p>
            <w:pPr>
              <w:spacing w:after="0" w:line="250"/>
            </w:pPr>
            <w:r>
              <w:rPr>
                <w:color w:val="64748B"/>
                <w:sz w:val="19"/>
                <w:szCs w:val="19"/>
              </w:rPr>
              <w:t xml:space="preserve">34</w:t>
            </w:r>
          </w:p>
        </w:tc>
        <w:tc>
          <w:tcPr>
            <w:tcW w:type="dxa" w:w="4860"/>
            <w:tcMar>
              <w:top w:type="dxa" w:w="90"/>
              <w:left w:type="dxa" w:w="130"/>
              <w:bottom w:type="dxa" w:w="90"/>
              <w:right w:type="dxa" w:w="130"/>
            </w:tcMar>
          </w:tcPr>
          <w:p>
            <w:pPr>
              <w:spacing w:after="0" w:line="250"/>
            </w:pPr>
            <w:r>
              <w:rPr>
                <w:color w:val="0F172A"/>
                <w:sz w:val="19"/>
                <w:szCs w:val="19"/>
              </w:rPr>
              <w:t xml:space="preserve">Triaged and deferred — see §7</w:t>
            </w:r>
          </w:p>
        </w:tc>
      </w:tr>
    </w:tbl>
    <w:p>
      <w:pPr>
        <w:pStyle w:val="Heading2"/>
        <w:spacing w:after="140" w:before="280"/>
      </w:pPr>
      <w:r>
        <w:rPr>
          <w:b/>
          <w:bCs/>
          <w:color w:val="E68A00"/>
          <w:sz w:val="25"/>
          <w:szCs w:val="25"/>
        </w:rPr>
        <w:t xml:space="preserve">2.11 Low — mobile layout defects</w:t>
      </w:r>
    </w:p>
    <w:p>
      <w:pPr>
        <w:pStyle w:val="ListParagraph"/>
        <w:numPr>
          <w:ilvl w:val="0"/>
          <w:numId w:val="2"/>
        </w:numPr>
        <w:spacing w:after="90" w:line="276"/>
      </w:pPr>
      <w:r>
        <w:rPr>
          <w:rFonts w:ascii="Consolas" w:cs="Consolas" w:eastAsia="Consolas" w:hAnsi="Consolas"/>
          <w:color w:val="0F172A"/>
          <w:sz w:val="21"/>
          <w:szCs w:val="21"/>
        </w:rPr>
        <w:t xml:space="preserve">viewport-fit=cover</w:t>
      </w:r>
      <w:r>
        <w:rPr>
          <w:color w:val="0F172A"/>
          <w:sz w:val="21"/>
          <w:szCs w:val="21"/>
        </w:rPr>
        <w:t xml:space="preserve"> was absent from all apps. The stylesheets already handled the iPhone notch in about 50 places, but those inset variables report zero unless the viewport opts in — so every one of those rules silently did nothing. Content sat under the notch and the customer navigation bar sat under the home indicator.</w:t>
      </w:r>
    </w:p>
    <w:p>
      <w:pPr>
        <w:pStyle w:val="ListParagraph"/>
        <w:numPr>
          <w:ilvl w:val="0"/>
          <w:numId w:val="2"/>
        </w:numPr>
        <w:spacing w:after="90" w:line="276"/>
      </w:pPr>
      <w:r>
        <w:rPr>
          <w:rFonts w:ascii="Consolas" w:cs="Consolas" w:eastAsia="Consolas" w:hAnsi="Consolas"/>
          <w:color w:val="0F172A"/>
          <w:sz w:val="21"/>
          <w:szCs w:val="21"/>
        </w:rPr>
        <w:t xml:space="preserve">100vh</w:t>
      </w:r>
      <w:r>
        <w:rPr>
          <w:color w:val="0F172A"/>
          <w:sz w:val="21"/>
          <w:szCs w:val="21"/>
        </w:rPr>
        <w:t xml:space="preserve"> and 31 uses of </w:t>
      </w:r>
      <w:r>
        <w:rPr>
          <w:rFonts w:ascii="Consolas" w:cs="Consolas" w:eastAsia="Consolas" w:hAnsi="Consolas"/>
          <w:color w:val="0F172A"/>
          <w:sz w:val="21"/>
          <w:szCs w:val="21"/>
        </w:rPr>
        <w:t xml:space="preserve">min-h-screen</w:t>
      </w:r>
      <w:r>
        <w:rPr>
          <w:color w:val="0F172A"/>
          <w:sz w:val="21"/>
          <w:szCs w:val="21"/>
        </w:rPr>
        <w:t xml:space="preserve"> measure the viewport including the area behind the collapsing mobile address bar, pushing content out of view. Replaced with dynamic viewport units.</w:t>
      </w:r>
    </w:p>
    <w:p>
      <w:pPr>
        <w:pStyle w:val="ListParagraph"/>
        <w:numPr>
          <w:ilvl w:val="0"/>
          <w:numId w:val="2"/>
        </w:numPr>
        <w:spacing w:after="90" w:line="276"/>
      </w:pPr>
      <w:r>
        <w:rPr>
          <w:color w:val="0F172A"/>
          <w:sz w:val="21"/>
          <w:szCs w:val="21"/>
        </w:rPr>
        <w:t xml:space="preserve">No horizontal-overflow guard, so any slightly oversized element allowed the whole page to scroll sideways.</w:t>
      </w:r>
    </w:p>
    <w:p>
      <w:r>
        <w:br w:type="page"/>
      </w:r>
    </w:p>
    <w:p>
      <w:pPr>
        <w:pStyle w:val="Heading1"/>
        <w:spacing w:after="180" w:before="360"/>
      </w:pPr>
      <w:r>
        <w:rPr>
          <w:b/>
          <w:bCs/>
          <w:color w:val="0F172A"/>
          <w:sz w:val="32"/>
          <w:szCs w:val="32"/>
        </w:rPr>
        <w:t xml:space="preserve">3. Architecture Consolidation</w:t>
      </w:r>
    </w:p>
    <w:p>
      <w:pPr>
        <w:spacing w:after="140" w:line="276"/>
      </w:pPr>
      <w:r>
        <w:rPr>
          <w:color w:val="0F172A"/>
          <w:sz w:val="21"/>
          <w:szCs w:val="21"/>
        </w:rPr>
        <w:t xml:space="preserve">The single largest body of work. Five shared packages now hold everything that must stay consistent across applications.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700"/>
        <w:gridCol w:w="900"/>
        <w:gridCol w:w="5760"/>
      </w:tblGrid>
      <w:tr>
        <w:trPr>
          <w:tblHeader/>
        </w:trPr>
        <w:tc>
          <w:tcPr>
            <w:tcW w:type="dxa" w:w="2700"/>
            <w:shd w:fill="F1F5F9" w:color="auto" w:val="clear"/>
            <w:tcMar>
              <w:top w:type="dxa" w:w="90"/>
              <w:left w:type="dxa" w:w="130"/>
              <w:bottom w:type="dxa" w:w="90"/>
              <w:right w:type="dxa" w:w="130"/>
            </w:tcMar>
          </w:tcPr>
          <w:p>
            <w:pPr>
              <w:spacing w:after="0" w:line="250"/>
            </w:pPr>
            <w:r>
              <w:rPr>
                <w:b/>
                <w:bCs/>
                <w:color w:val="0F172A"/>
                <w:sz w:val="19"/>
                <w:szCs w:val="19"/>
              </w:rPr>
              <w:t xml:space="preserve">Package</w:t>
            </w:r>
          </w:p>
        </w:tc>
        <w:tc>
          <w:tcPr>
            <w:tcW w:type="dxa" w:w="900"/>
            <w:shd w:fill="F1F5F9" w:color="auto" w:val="clear"/>
            <w:tcMar>
              <w:top w:type="dxa" w:w="90"/>
              <w:left w:type="dxa" w:w="130"/>
              <w:bottom w:type="dxa" w:w="90"/>
              <w:right w:type="dxa" w:w="130"/>
            </w:tcMar>
          </w:tcPr>
          <w:p>
            <w:pPr>
              <w:spacing w:after="0" w:line="250"/>
            </w:pPr>
            <w:r>
              <w:rPr>
                <w:b/>
                <w:bCs/>
                <w:color w:val="0F172A"/>
                <w:sz w:val="19"/>
                <w:szCs w:val="19"/>
              </w:rPr>
              <w:t xml:space="preserve">Files</w:t>
            </w:r>
          </w:p>
        </w:tc>
        <w:tc>
          <w:tcPr>
            <w:tcW w:type="dxa" w:w="5760"/>
            <w:shd w:fill="F1F5F9" w:color="auto" w:val="clear"/>
            <w:tcMar>
              <w:top w:type="dxa" w:w="90"/>
              <w:left w:type="dxa" w:w="130"/>
              <w:bottom w:type="dxa" w:w="90"/>
              <w:right w:type="dxa" w:w="130"/>
            </w:tcMar>
          </w:tcPr>
          <w:p>
            <w:pPr>
              <w:spacing w:after="0" w:line="250"/>
            </w:pPr>
            <w:r>
              <w:rPr>
                <w:b/>
                <w:bCs/>
                <w:color w:val="0F172A"/>
                <w:sz w:val="19"/>
                <w:szCs w:val="19"/>
              </w:rPr>
              <w:t xml:space="preserve">Contents</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@dabzzo/shared-types</w:t>
            </w:r>
          </w:p>
        </w:tc>
        <w:tc>
          <w:tcPr>
            <w:tcW w:type="dxa" w:w="900"/>
            <w:tcMar>
              <w:top w:type="dxa" w:w="90"/>
              <w:left w:type="dxa" w:w="130"/>
              <w:bottom w:type="dxa" w:w="90"/>
              <w:right w:type="dxa" w:w="130"/>
            </w:tcMar>
          </w:tcPr>
          <w:p>
            <w:pPr>
              <w:spacing w:after="0" w:line="250"/>
            </w:pPr>
            <w:r>
              <w:rPr>
                <w:color w:val="0F172A"/>
                <w:sz w:val="19"/>
                <w:szCs w:val="19"/>
              </w:rPr>
              <w:t xml:space="preserve">3</w:t>
            </w:r>
          </w:p>
        </w:tc>
        <w:tc>
          <w:tcPr>
            <w:tcW w:type="dxa" w:w="5760"/>
            <w:tcMar>
              <w:top w:type="dxa" w:w="90"/>
              <w:left w:type="dxa" w:w="130"/>
              <w:bottom w:type="dxa" w:w="90"/>
              <w:right w:type="dxa" w:w="130"/>
            </w:tcMar>
          </w:tcPr>
          <w:p>
            <w:pPr>
              <w:spacing w:after="0" w:line="250"/>
            </w:pPr>
            <w:r>
              <w:rPr>
                <w:color w:val="0F172A"/>
                <w:sz w:val="19"/>
                <w:szCs w:val="19"/>
              </w:rPr>
              <w:t xml:space="preserve">The data model: users, subscriptions, orders, batches, delivery and payout types</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@dabzzo/shared-auth</w:t>
            </w:r>
          </w:p>
        </w:tc>
        <w:tc>
          <w:tcPr>
            <w:tcW w:type="dxa" w:w="900"/>
            <w:tcMar>
              <w:top w:type="dxa" w:w="90"/>
              <w:left w:type="dxa" w:w="130"/>
              <w:bottom w:type="dxa" w:w="90"/>
              <w:right w:type="dxa" w:w="130"/>
            </w:tcMar>
          </w:tcPr>
          <w:p>
            <w:pPr>
              <w:spacing w:after="0" w:line="250"/>
            </w:pPr>
            <w:r>
              <w:rPr>
                <w:color w:val="0F172A"/>
                <w:sz w:val="19"/>
                <w:szCs w:val="19"/>
              </w:rPr>
              <w:t xml:space="preserve">6</w:t>
            </w:r>
          </w:p>
        </w:tc>
        <w:tc>
          <w:tcPr>
            <w:tcW w:type="dxa" w:w="5760"/>
            <w:tcMar>
              <w:top w:type="dxa" w:w="90"/>
              <w:left w:type="dxa" w:w="130"/>
              <w:bottom w:type="dxa" w:w="90"/>
              <w:right w:type="dxa" w:w="130"/>
            </w:tcMar>
          </w:tcPr>
          <w:p>
            <w:pPr>
              <w:spacing w:after="0" w:line="250"/>
            </w:pPr>
            <w:r>
              <w:rPr>
                <w:color w:val="0F172A"/>
                <w:sz w:val="19"/>
                <w:szCs w:val="19"/>
              </w:rPr>
              <w:t xml:space="preserve">Firebase client initialisation, auth service, AuthGuard, AuthProvider</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@dabzzo/shared-lib</w:t>
            </w:r>
          </w:p>
        </w:tc>
        <w:tc>
          <w:tcPr>
            <w:tcW w:type="dxa" w:w="900"/>
            <w:tcMar>
              <w:top w:type="dxa" w:w="90"/>
              <w:left w:type="dxa" w:w="130"/>
              <w:bottom w:type="dxa" w:w="90"/>
              <w:right w:type="dxa" w:w="130"/>
            </w:tcMar>
          </w:tcPr>
          <w:p>
            <w:pPr>
              <w:spacing w:after="0" w:line="250"/>
            </w:pPr>
            <w:r>
              <w:rPr>
                <w:color w:val="0F172A"/>
                <w:sz w:val="19"/>
                <w:szCs w:val="19"/>
              </w:rPr>
              <w:t xml:space="preserve">20</w:t>
            </w:r>
          </w:p>
        </w:tc>
        <w:tc>
          <w:tcPr>
            <w:tcW w:type="dxa" w:w="5760"/>
            <w:tcMar>
              <w:top w:type="dxa" w:w="90"/>
              <w:left w:type="dxa" w:w="130"/>
              <w:bottom w:type="dxa" w:w="90"/>
              <w:right w:type="dxa" w:w="130"/>
            </w:tcMar>
          </w:tcPr>
          <w:p>
            <w:pPr>
              <w:spacing w:after="0" w:line="250"/>
            </w:pPr>
            <w:r>
              <w:rPr>
                <w:color w:val="0F172A"/>
                <w:sz w:val="19"/>
                <w:szCs w:val="19"/>
              </w:rPr>
              <w:t xml:space="preserve">Pricing, geo, storage, notifications, offline queue, all five state stores</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@dabzzo/shared-queries</w:t>
            </w:r>
          </w:p>
        </w:tc>
        <w:tc>
          <w:tcPr>
            <w:tcW w:type="dxa" w:w="900"/>
            <w:tcMar>
              <w:top w:type="dxa" w:w="90"/>
              <w:left w:type="dxa" w:w="130"/>
              <w:bottom w:type="dxa" w:w="90"/>
              <w:right w:type="dxa" w:w="130"/>
            </w:tcMar>
          </w:tcPr>
          <w:p>
            <w:pPr>
              <w:spacing w:after="0" w:line="250"/>
            </w:pPr>
            <w:r>
              <w:rPr>
                <w:color w:val="0F172A"/>
                <w:sz w:val="19"/>
                <w:szCs w:val="19"/>
              </w:rPr>
              <w:t xml:space="preserve">19</w:t>
            </w:r>
          </w:p>
        </w:tc>
        <w:tc>
          <w:tcPr>
            <w:tcW w:type="dxa" w:w="5760"/>
            <w:tcMar>
              <w:top w:type="dxa" w:w="90"/>
              <w:left w:type="dxa" w:w="130"/>
              <w:bottom w:type="dxa" w:w="90"/>
              <w:right w:type="dxa" w:w="130"/>
            </w:tcMar>
          </w:tcPr>
          <w:p>
            <w:pPr>
              <w:spacing w:after="0" w:line="250"/>
            </w:pPr>
            <w:r>
              <w:rPr>
                <w:color w:val="0F172A"/>
                <w:sz w:val="19"/>
                <w:szCs w:val="19"/>
              </w:rPr>
              <w:t xml:space="preserve">The Firestore data-access layer and typed converters</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@dabzzo/shared-ui</w:t>
            </w:r>
          </w:p>
        </w:tc>
        <w:tc>
          <w:tcPr>
            <w:tcW w:type="dxa" w:w="900"/>
            <w:tcMar>
              <w:top w:type="dxa" w:w="90"/>
              <w:left w:type="dxa" w:w="130"/>
              <w:bottom w:type="dxa" w:w="90"/>
              <w:right w:type="dxa" w:w="130"/>
            </w:tcMar>
          </w:tcPr>
          <w:p>
            <w:pPr>
              <w:spacing w:after="0" w:line="250"/>
            </w:pPr>
            <w:r>
              <w:rPr>
                <w:color w:val="0F172A"/>
                <w:sz w:val="19"/>
                <w:szCs w:val="19"/>
              </w:rPr>
              <w:t xml:space="preserve">38</w:t>
            </w:r>
          </w:p>
        </w:tc>
        <w:tc>
          <w:tcPr>
            <w:tcW w:type="dxa" w:w="5760"/>
            <w:tcMar>
              <w:top w:type="dxa" w:w="90"/>
              <w:left w:type="dxa" w:w="130"/>
              <w:bottom w:type="dxa" w:w="90"/>
              <w:right w:type="dxa" w:w="130"/>
            </w:tcMar>
          </w:tcPr>
          <w:p>
            <w:pPr>
              <w:spacing w:after="0" w:line="250"/>
            </w:pPr>
            <w:r>
              <w:rPr>
                <w:color w:val="0F172A"/>
                <w:sz w:val="19"/>
                <w:szCs w:val="19"/>
              </w:rPr>
              <w:t xml:space="preserve">Shared components, including a parameterised brand mark</w:t>
            </w:r>
          </w:p>
        </w:tc>
      </w:tr>
    </w:tbl>
    <w:p>
      <w:pPr>
        <w:spacing w:after="160"/>
      </w:pPr>
    </w:p>
    <w:p>
      <w:pPr>
        <w:pStyle w:val="Heading2"/>
        <w:spacing w:after="140" w:before="280"/>
      </w:pPr>
      <w:r>
        <w:rPr>
          <w:b/>
          <w:bCs/>
          <w:color w:val="E68A00"/>
          <w:sz w:val="25"/>
          <w:szCs w:val="25"/>
        </w:rPr>
        <w:t xml:space="preserve">How conflicts were resolved</w:t>
      </w:r>
    </w:p>
    <w:p>
      <w:pPr>
        <w:spacing w:after="140" w:line="276"/>
      </w:pPr>
      <w:r>
        <w:rPr>
          <w:color w:val="0F172A"/>
          <w:sz w:val="21"/>
          <w:szCs w:val="21"/>
        </w:rPr>
        <w:t xml:space="preserve">Where copies had diverged, the deciding question was usually which copy actually runs, not which looked newer. Several divergent copies were dead code in applications that never called them.</w:t>
      </w:r>
    </w:p>
    <w:tbl>
      <w:tblPr>
        <w:tblW w:type="dxa" w:w="9360"/>
        <w:tblBorders>
          <w:top w:val="single" w:color="64748B" w:sz="2"/>
          <w:left w:val="single" w:color="64748B" w:sz="18"/>
          <w:bottom w:val="single" w:color="64748B" w:sz="2"/>
          <w:right w:val="single" w:color="64748B" w:sz="2"/>
          <w:insideH w:val="none"/>
          <w:insideV w:val="none"/>
        </w:tblBorders>
      </w:tblPr>
      <w:tblGrid>
        <w:gridCol w:w="9360"/>
      </w:tblGrid>
      <w:tr>
        <w:tc>
          <w:tcPr>
            <w:tcW w:type="dxa" w:w="9360"/>
            <w:shd w:fill="F8FAFC" w:color="auto" w:val="clear"/>
            <w:tcMar>
              <w:top w:type="dxa" w:w="150"/>
              <w:left w:type="dxa" w:w="200"/>
              <w:bottom w:type="dxa" w:w="150"/>
              <w:right w:type="dxa" w:w="200"/>
            </w:tcMar>
          </w:tcPr>
          <w:p>
            <w:pPr>
              <w:spacing w:after="70"/>
            </w:pPr>
            <w:r>
              <w:rPr>
                <w:b/>
                <w:bCs/>
                <w:color w:val="64748B"/>
                <w:sz w:val="21"/>
                <w:szCs w:val="21"/>
              </w:rPr>
              <w:t xml:space="preserve">A decision worth recording</w:t>
            </w:r>
          </w:p>
          <w:p>
            <w:pPr>
              <w:spacing w:after="60" w:line="270"/>
            </w:pPr>
            <w:r>
              <w:rPr>
                <w:color w:val="0F172A"/>
                <w:sz w:val="20"/>
                <w:szCs w:val="20"/>
              </w:rPr>
              <w:t xml:space="preserve">Two functions — vendor statistics and batch formation — are called only by the admin console, yet three other apps carried different, never-executed versions of them.</w:t>
            </w:r>
          </w:p>
          <w:p>
            <w:pPr>
              <w:spacing w:after="60" w:line="270"/>
            </w:pPr>
            <w:r>
              <w:rPr>
                <w:color w:val="0F172A"/>
                <w:sz w:val="20"/>
                <w:szCs w:val="20"/>
              </w:rPr>
              <w:t xml:space="preserve">The other versions looked more sophisticated. Adopting one because it "looked better" would have silently changed live vendor financial reporting. The version that actually runs was kept.</w:t>
            </w:r>
          </w:p>
        </w:tc>
      </w:tr>
    </w:tbl>
    <w:p>
      <w:pPr>
        <w:spacing w:after="160"/>
      </w:pPr>
    </w:p>
    <w:p>
      <w:pPr>
        <w:pStyle w:val="Heading2"/>
        <w:spacing w:after="140" w:before="280"/>
      </w:pPr>
      <w:r>
        <w:rPr>
          <w:b/>
          <w:bCs/>
          <w:color w:val="E68A00"/>
          <w:sz w:val="25"/>
          <w:szCs w:val="25"/>
        </w:rPr>
        <w:t xml:space="preserve">Where applications genuinely differ</w:t>
      </w:r>
    </w:p>
    <w:p>
      <w:pPr>
        <w:spacing w:after="140" w:line="276"/>
      </w:pPr>
      <w:r>
        <w:rPr>
          <w:color w:val="0F172A"/>
          <w:sz w:val="21"/>
          <w:szCs w:val="21"/>
        </w:rPr>
        <w:t xml:space="preserve">Real differences were preserved as explicit configuration rather than being flattened away:</w:t>
      </w:r>
    </w:p>
    <w:p>
      <w:pPr>
        <w:pStyle w:val="ListParagraph"/>
        <w:numPr>
          <w:ilvl w:val="0"/>
          <w:numId w:val="2"/>
        </w:numPr>
        <w:spacing w:after="90" w:line="276"/>
      </w:pPr>
      <w:r>
        <w:rPr>
          <w:color w:val="0F172A"/>
          <w:sz w:val="21"/>
          <w:szCs w:val="21"/>
        </w:rPr>
        <w:t xml:space="preserve">The authentication guard takes the roles each portal admits, plus its own loading copy and colour.</w:t>
      </w:r>
    </w:p>
    <w:p>
      <w:pPr>
        <w:pStyle w:val="ListParagraph"/>
        <w:numPr>
          <w:ilvl w:val="0"/>
          <w:numId w:val="2"/>
        </w:numPr>
        <w:spacing w:after="90" w:line="276"/>
      </w:pPr>
      <w:r>
        <w:rPr>
          <w:color w:val="0F172A"/>
          <w:sz w:val="21"/>
          <w:szCs w:val="21"/>
        </w:rPr>
        <w:t xml:space="preserve">The brand mark takes branding properties; the markup and error-fallback behaviour are shared.</w:t>
      </w:r>
    </w:p>
    <w:p>
      <w:pPr>
        <w:pStyle w:val="ListParagraph"/>
        <w:numPr>
          <w:ilvl w:val="0"/>
          <w:numId w:val="2"/>
        </w:numPr>
        <w:spacing w:after="90" w:line="276"/>
      </w:pPr>
      <w:r>
        <w:rPr>
          <w:color w:val="0F172A"/>
          <w:sz w:val="21"/>
          <w:szCs w:val="21"/>
        </w:rPr>
        <w:t xml:space="preserve">The auth provider takes a per-portal account provisioning configuration.</w:t>
      </w:r>
    </w:p>
    <w:p>
      <w:pPr>
        <w:pStyle w:val="ListParagraph"/>
        <w:numPr>
          <w:ilvl w:val="0"/>
          <w:numId w:val="2"/>
        </w:numPr>
        <w:spacing w:after="90" w:line="276"/>
      </w:pPr>
      <w:r>
        <w:rPr>
          <w:color w:val="0F172A"/>
          <w:sz w:val="21"/>
          <w:szCs w:val="21"/>
        </w:rPr>
        <w:t xml:space="preserve">User cache lifetimes were a genuine conflict with no correct answer: three apps cached for five minutes, the rider app deliberately for twenty seconds so riders see fresh data mid-delivery. Rather than arbitrate, the lifetime is now configurable, defaulting to the conservative value, with the rider app opting in explicitly.</w:t>
      </w:r>
    </w:p>
    <w:p>
      <w:pPr>
        <w:pStyle w:val="Heading2"/>
        <w:spacing w:after="140" w:before="280"/>
      </w:pPr>
      <w:r>
        <w:rPr>
          <w:b/>
          <w:bCs/>
          <w:color w:val="E68A00"/>
          <w:sz w:val="25"/>
          <w:szCs w:val="25"/>
        </w:rPr>
        <w:t xml:space="preserve">Dead code removed</w:t>
      </w:r>
    </w:p>
    <w:p>
      <w:pPr>
        <w:spacing w:after="140" w:line="276"/>
      </w:pPr>
      <w:r>
        <w:rPr>
          <w:color w:val="0F172A"/>
          <w:sz w:val="21"/>
          <w:szCs w:val="21"/>
        </w:rPr>
        <w:t xml:space="preserve">A reachability scan showed most remaining "drifted duplicates" were simply never imported — 11,671 lines across 58 files. Two false-positive classes were corrected before anything was deleted: a static-import-only scan wrongly flagged a component loaded dynamically, and substring matching flagged a navigation component because another file shared part of its name.</w:t>
      </w:r>
    </w:p>
    <w:p>
      <w:r>
        <w:br w:type="page"/>
      </w:r>
    </w:p>
    <w:p>
      <w:pPr>
        <w:pStyle w:val="Heading1"/>
        <w:spacing w:after="180" w:before="360"/>
      </w:pPr>
      <w:r>
        <w:rPr>
          <w:b/>
          <w:bCs/>
          <w:color w:val="0F172A"/>
          <w:sz w:val="32"/>
          <w:szCs w:val="32"/>
        </w:rPr>
        <w:t xml:space="preserve">4. Testing</w:t>
      </w:r>
    </w:p>
    <w:p>
      <w:pPr>
        <w:spacing w:after="140" w:line="276"/>
      </w:pPr>
      <w:r>
        <w:rPr>
          <w:color w:val="0F172A"/>
          <w:sz w:val="21"/>
          <w:szCs w:val="21"/>
        </w:rPr>
        <w:t xml:space="preserve">Backend coverage went from 47 tests across 3 suites to 99 across 7, concentrating on money and access-control paths.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500"/>
        <w:gridCol w:w="6860"/>
      </w:tblGrid>
      <w:tr>
        <w:trPr>
          <w:tblHeader/>
        </w:trPr>
        <w:tc>
          <w:tcPr>
            <w:tcW w:type="dxa" w:w="2500"/>
            <w:shd w:fill="F1F5F9" w:color="auto" w:val="clear"/>
            <w:tcMar>
              <w:top w:type="dxa" w:w="90"/>
              <w:left w:type="dxa" w:w="130"/>
              <w:bottom w:type="dxa" w:w="90"/>
              <w:right w:type="dxa" w:w="130"/>
            </w:tcMar>
          </w:tcPr>
          <w:p>
            <w:pPr>
              <w:spacing w:after="0" w:line="250"/>
            </w:pPr>
            <w:r>
              <w:rPr>
                <w:b/>
                <w:bCs/>
                <w:color w:val="0F172A"/>
                <w:sz w:val="19"/>
                <w:szCs w:val="19"/>
              </w:rPr>
              <w:t xml:space="preserve">Suite</w:t>
            </w:r>
          </w:p>
        </w:tc>
        <w:tc>
          <w:tcPr>
            <w:tcW w:type="dxa" w:w="6860"/>
            <w:shd w:fill="F1F5F9" w:color="auto" w:val="clear"/>
            <w:tcMar>
              <w:top w:type="dxa" w:w="90"/>
              <w:left w:type="dxa" w:w="130"/>
              <w:bottom w:type="dxa" w:w="90"/>
              <w:right w:type="dxa" w:w="130"/>
            </w:tcMar>
          </w:tcPr>
          <w:p>
            <w:pPr>
              <w:spacing w:after="0" w:line="250"/>
            </w:pPr>
            <w:r>
              <w:rPr>
                <w:b/>
                <w:bCs/>
                <w:color w:val="0F172A"/>
                <w:sz w:val="19"/>
                <w:szCs w:val="19"/>
              </w:rPr>
              <w:t xml:space="preserve">Covers</w:t>
            </w:r>
          </w:p>
        </w:tc>
      </w:tr>
      <w:tr>
        <w:tc>
          <w:tcPr>
            <w:tcW w:type="dxa" w:w="2500"/>
            <w:tcMar>
              <w:top w:type="dxa" w:w="90"/>
              <w:left w:type="dxa" w:w="130"/>
              <w:bottom w:type="dxa" w:w="90"/>
              <w:right w:type="dxa" w:w="130"/>
            </w:tcMar>
          </w:tcPr>
          <w:p>
            <w:pPr>
              <w:spacing w:after="0" w:line="250"/>
            </w:pPr>
            <w:r>
              <w:rPr>
                <w:color w:val="0F172A"/>
                <w:sz w:val="19"/>
                <w:szCs w:val="19"/>
              </w:rPr>
              <w:t xml:space="preserve">Geo distance</w:t>
            </w:r>
          </w:p>
        </w:tc>
        <w:tc>
          <w:tcPr>
            <w:tcW w:type="dxa" w:w="6860"/>
            <w:tcMar>
              <w:top w:type="dxa" w:w="90"/>
              <w:left w:type="dxa" w:w="130"/>
              <w:bottom w:type="dxa" w:w="90"/>
              <w:right w:type="dxa" w:w="130"/>
            </w:tcMar>
          </w:tcPr>
          <w:p>
            <w:pPr>
              <w:spacing w:after="0" w:line="250"/>
            </w:pPr>
            <w:r>
              <w:rPr>
                <w:color w:val="0F172A"/>
                <w:sz w:val="19"/>
                <w:szCs w:val="19"/>
              </w:rPr>
              <w:t xml:space="preserve">The 2 km dispatch radius, from both sides of the threshold, plus antimeridian and pole inputs</w:t>
            </w:r>
          </w:p>
        </w:tc>
      </w:tr>
      <w:tr>
        <w:tc>
          <w:tcPr>
            <w:tcW w:type="dxa" w:w="2500"/>
            <w:tcMar>
              <w:top w:type="dxa" w:w="90"/>
              <w:left w:type="dxa" w:w="130"/>
              <w:bottom w:type="dxa" w:w="90"/>
              <w:right w:type="dxa" w:w="130"/>
            </w:tcMar>
          </w:tcPr>
          <w:p>
            <w:pPr>
              <w:spacing w:after="0" w:line="250"/>
            </w:pPr>
            <w:r>
              <w:rPr>
                <w:color w:val="0F172A"/>
                <w:sz w:val="19"/>
                <w:szCs w:val="19"/>
              </w:rPr>
              <w:t xml:space="preserve">setUserRole</w:t>
            </w:r>
          </w:p>
        </w:tc>
        <w:tc>
          <w:tcPr>
            <w:tcW w:type="dxa" w:w="6860"/>
            <w:tcMar>
              <w:top w:type="dxa" w:w="90"/>
              <w:left w:type="dxa" w:w="130"/>
              <w:bottom w:type="dxa" w:w="90"/>
              <w:right w:type="dxa" w:w="130"/>
            </w:tcMar>
          </w:tcPr>
          <w:p>
            <w:pPr>
              <w:spacing w:after="0" w:line="250"/>
            </w:pPr>
            <w:r>
              <w:rPr>
                <w:color w:val="0F172A"/>
                <w:sz w:val="19"/>
                <w:szCs w:val="19"/>
              </w:rPr>
              <w:t xml:space="preserve">Every rejection path on the privilege-escalation boundary</w:t>
            </w:r>
          </w:p>
        </w:tc>
      </w:tr>
      <w:tr>
        <w:tc>
          <w:tcPr>
            <w:tcW w:type="dxa" w:w="2500"/>
            <w:tcMar>
              <w:top w:type="dxa" w:w="90"/>
              <w:left w:type="dxa" w:w="130"/>
              <w:bottom w:type="dxa" w:w="90"/>
              <w:right w:type="dxa" w:w="130"/>
            </w:tcMar>
          </w:tcPr>
          <w:p>
            <w:pPr>
              <w:spacing w:after="0" w:line="250"/>
            </w:pPr>
            <w:r>
              <w:rPr>
                <w:color w:val="0F172A"/>
                <w:sz w:val="19"/>
                <w:szCs w:val="19"/>
              </w:rPr>
              <w:t xml:space="preserve">Admin management</w:t>
            </w:r>
          </w:p>
        </w:tc>
        <w:tc>
          <w:tcPr>
            <w:tcW w:type="dxa" w:w="6860"/>
            <w:tcMar>
              <w:top w:type="dxa" w:w="90"/>
              <w:left w:type="dxa" w:w="130"/>
              <w:bottom w:type="dxa" w:w="90"/>
              <w:right w:type="dxa" w:w="130"/>
            </w:tcMar>
          </w:tcPr>
          <w:p>
            <w:pPr>
              <w:spacing w:after="0" w:line="250"/>
            </w:pPr>
            <w:r>
              <w:rPr>
                <w:color w:val="0F172A"/>
                <w:sz w:val="19"/>
                <w:szCs w:val="19"/>
              </w:rPr>
              <w:t xml:space="preserve">The admin gate, argument validation, audit logging, and approve versus reject</w:t>
            </w:r>
          </w:p>
        </w:tc>
      </w:tr>
      <w:tr>
        <w:tc>
          <w:tcPr>
            <w:tcW w:type="dxa" w:w="2500"/>
            <w:tcMar>
              <w:top w:type="dxa" w:w="90"/>
              <w:left w:type="dxa" w:w="130"/>
              <w:bottom w:type="dxa" w:w="90"/>
              <w:right w:type="dxa" w:w="130"/>
            </w:tcMar>
          </w:tcPr>
          <w:p>
            <w:pPr>
              <w:spacing w:after="0" w:line="250"/>
            </w:pPr>
            <w:r>
              <w:rPr>
                <w:color w:val="0F172A"/>
                <w:sz w:val="19"/>
                <w:szCs w:val="19"/>
              </w:rPr>
              <w:t xml:space="preserve">Swap functions</w:t>
            </w:r>
          </w:p>
        </w:tc>
        <w:tc>
          <w:tcPr>
            <w:tcW w:type="dxa" w:w="6860"/>
            <w:tcMar>
              <w:top w:type="dxa" w:w="90"/>
              <w:left w:type="dxa" w:w="130"/>
              <w:bottom w:type="dxa" w:w="90"/>
              <w:right w:type="dxa" w:w="130"/>
            </w:tcMar>
          </w:tcPr>
          <w:p>
            <w:pPr>
              <w:spacing w:after="0" w:line="250"/>
            </w:pPr>
            <w:r>
              <w:rPr>
                <w:color w:val="0F172A"/>
                <w:sz w:val="19"/>
                <w:szCs w:val="19"/>
              </w:rPr>
              <w:t xml:space="preserve">Ownership checks that prevent one customer swapping away another's meal</w:t>
            </w:r>
          </w:p>
        </w:tc>
      </w:tr>
    </w:tbl>
    <w:p>
      <w:pPr>
        <w:spacing w:after="160"/>
      </w:pPr>
    </w:p>
    <w:tbl>
      <w:tblPr>
        <w:tblW w:type="dxa" w:w="9360"/>
        <w:tblBorders>
          <w:top w:val="single" w:color="047857" w:sz="2"/>
          <w:left w:val="single" w:color="047857" w:sz="18"/>
          <w:bottom w:val="single" w:color="047857" w:sz="2"/>
          <w:right w:val="single" w:color="047857" w:sz="2"/>
          <w:insideH w:val="none"/>
          <w:insideV w:val="none"/>
        </w:tblBorders>
      </w:tblPr>
      <w:tblGrid>
        <w:gridCol w:w="9360"/>
      </w:tblGrid>
      <w:tr>
        <w:tc>
          <w:tcPr>
            <w:tcW w:type="dxa" w:w="9360"/>
            <w:shd w:fill="F0FDF4" w:color="auto" w:val="clear"/>
            <w:tcMar>
              <w:top w:type="dxa" w:w="150"/>
              <w:left w:type="dxa" w:w="200"/>
              <w:bottom w:type="dxa" w:w="150"/>
              <w:right w:type="dxa" w:w="200"/>
            </w:tcMar>
          </w:tcPr>
          <w:p>
            <w:pPr>
              <w:spacing w:after="70"/>
            </w:pPr>
            <w:r>
              <w:rPr>
                <w:b/>
                <w:bCs/>
                <w:color w:val="047857"/>
                <w:sz w:val="21"/>
                <w:szCs w:val="21"/>
              </w:rPr>
              <w:t xml:space="preserve">Tests were verified by mutation, not just by passing</w:t>
            </w:r>
          </w:p>
          <w:p>
            <w:pPr>
              <w:spacing w:after="60" w:line="270"/>
            </w:pPr>
            <w:r>
              <w:rPr>
                <w:color w:val="0F172A"/>
                <w:sz w:val="20"/>
                <w:szCs w:val="20"/>
              </w:rPr>
              <w:t xml:space="preserve">Mocking the Firebase Admin SDK is easy to get subtly wrong in a way that leaves assertions vacuous — the test passes but could never fail.</w:t>
            </w:r>
          </w:p>
          <w:p>
            <w:pPr>
              <w:spacing w:after="60" w:line="270"/>
            </w:pPr>
            <w:r>
              <w:rPr>
                <w:color w:val="0F172A"/>
                <w:sz w:val="20"/>
                <w:szCs w:val="20"/>
              </w:rPr>
              <w:t xml:space="preserve">Two security guards were checked by deleting the guard, confirming exactly one test turned red, then restoring it. The tests also contradicted an assumption twice, which is how the finding below was discovered.</w:t>
            </w:r>
          </w:p>
        </w:tc>
      </w:tr>
    </w:tbl>
    <w:p>
      <w:pPr>
        <w:spacing w:after="160"/>
      </w:pPr>
    </w:p>
    <w:p>
      <w:pPr>
        <w:pStyle w:val="Heading2"/>
        <w:spacing w:after="140" w:before="280"/>
      </w:pPr>
      <w:r>
        <w:rPr>
          <w:b/>
          <w:bCs/>
          <w:color w:val="E68A00"/>
          <w:sz w:val="25"/>
          <w:szCs w:val="25"/>
        </w:rPr>
        <w:t xml:space="preserve">A mismatch the tests found</w:t>
      </w:r>
    </w:p>
    <w:p>
      <w:pPr>
        <w:spacing w:after="140" w:line="276"/>
      </w:pPr>
      <w:r>
        <w:rPr>
          <w:color w:val="0F172A"/>
          <w:sz w:val="21"/>
          <w:szCs w:val="21"/>
        </w:rPr>
        <w:t xml:space="preserve">Rider verification writes </w:t>
      </w:r>
      <w:r>
        <w:rPr>
          <w:rFonts w:ascii="Consolas" w:cs="Consolas" w:eastAsia="Consolas" w:hAnsi="Consolas"/>
          <w:color w:val="0F172A"/>
          <w:sz w:val="21"/>
          <w:szCs w:val="21"/>
        </w:rPr>
        <w:t xml:space="preserve">roles.rider.status</w:t>
      </w:r>
      <w:r>
        <w:rPr>
          <w:color w:val="0F172A"/>
          <w:sz w:val="21"/>
          <w:szCs w:val="21"/>
        </w:rPr>
        <w:t xml:space="preserve"> while setting the role string to </w:t>
      </w:r>
      <w:r>
        <w:rPr>
          <w:rFonts w:ascii="Consolas" w:cs="Consolas" w:eastAsia="Consolas" w:hAnsi="Consolas"/>
          <w:color w:val="0F172A"/>
          <w:sz w:val="21"/>
          <w:szCs w:val="21"/>
        </w:rPr>
        <w:t xml:space="preserve">delivery</w:t>
      </w:r>
      <w:r>
        <w:rPr>
          <w:color w:val="0F172A"/>
          <w:sz w:val="21"/>
          <w:szCs w:val="21"/>
        </w:rPr>
        <w:t xml:space="preserve">. Vendors are symmetric; riders are not. Nothing anywhere writes </w:t>
      </w:r>
      <w:r>
        <w:rPr>
          <w:rFonts w:ascii="Consolas" w:cs="Consolas" w:eastAsia="Consolas" w:hAnsi="Consolas"/>
          <w:color w:val="0F172A"/>
          <w:sz w:val="21"/>
          <w:szCs w:val="21"/>
        </w:rPr>
        <w:t xml:space="preserve">roles.delivery</w:t>
      </w:r>
      <w:r>
        <w:rPr>
          <w:color w:val="0F172A"/>
          <w:sz w:val="21"/>
          <w:szCs w:val="21"/>
        </w:rPr>
        <w:t xml:space="preserve"> — which is precisely what the consolidated guard was checking, making that branch dead. A verified rider only ever gained access through the plain role string. The guard now checks the field that is actually written.</w:t>
      </w:r>
    </w:p>
    <w:p>
      <w:pPr>
        <w:pStyle w:val="Heading1"/>
        <w:spacing w:after="180" w:before="360"/>
      </w:pPr>
      <w:r>
        <w:rPr>
          <w:b/>
          <w:bCs/>
          <w:color w:val="0F172A"/>
          <w:sz w:val="32"/>
          <w:szCs w:val="32"/>
        </w:rPr>
        <w:t xml:space="preserve">5. Documentation</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900"/>
        <w:gridCol w:w="6460"/>
      </w:tblGrid>
      <w:tr>
        <w:trPr>
          <w:tblHeader/>
        </w:trPr>
        <w:tc>
          <w:tcPr>
            <w:tcW w:type="dxa" w:w="2900"/>
            <w:shd w:fill="F1F5F9" w:color="auto" w:val="clear"/>
            <w:tcMar>
              <w:top w:type="dxa" w:w="90"/>
              <w:left w:type="dxa" w:w="130"/>
              <w:bottom w:type="dxa" w:w="90"/>
              <w:right w:type="dxa" w:w="130"/>
            </w:tcMar>
          </w:tcPr>
          <w:p>
            <w:pPr>
              <w:spacing w:after="0" w:line="250"/>
            </w:pPr>
            <w:r>
              <w:rPr>
                <w:b/>
                <w:bCs/>
                <w:color w:val="0F172A"/>
                <w:sz w:val="19"/>
                <w:szCs w:val="19"/>
              </w:rPr>
              <w:t xml:space="preserve">Document</w:t>
            </w:r>
          </w:p>
        </w:tc>
        <w:tc>
          <w:tcPr>
            <w:tcW w:type="dxa" w:w="6460"/>
            <w:shd w:fill="F1F5F9" w:color="auto" w:val="clear"/>
            <w:tcMar>
              <w:top w:type="dxa" w:w="90"/>
              <w:left w:type="dxa" w:w="130"/>
              <w:bottom w:type="dxa" w:w="90"/>
              <w:right w:type="dxa" w:w="130"/>
            </w:tcMar>
          </w:tcPr>
          <w:p>
            <w:pPr>
              <w:spacing w:after="0" w:line="250"/>
            </w:pPr>
            <w:r>
              <w:rPr>
                <w:b/>
                <w:bCs/>
                <w:color w:val="0F172A"/>
                <w:sz w:val="19"/>
                <w:szCs w:val="19"/>
              </w:rPr>
              <w:t xml:space="preserve">Purpose</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IMPLEMENTATION_PLAN.md</w:t>
            </w:r>
          </w:p>
        </w:tc>
        <w:tc>
          <w:tcPr>
            <w:tcW w:type="dxa" w:w="6460"/>
            <w:tcMar>
              <w:top w:type="dxa" w:w="90"/>
              <w:left w:type="dxa" w:w="130"/>
              <w:bottom w:type="dxa" w:w="90"/>
              <w:right w:type="dxa" w:w="130"/>
            </w:tcMar>
          </w:tcPr>
          <w:p>
            <w:pPr>
              <w:spacing w:after="0" w:line="250"/>
            </w:pPr>
            <w:r>
              <w:rPr>
                <w:color w:val="0F172A"/>
                <w:sz w:val="19"/>
                <w:szCs w:val="19"/>
              </w:rPr>
              <w:t xml:space="preserve">Phased plan, per-phase status, open decisions, remaining lint breakdown</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CHANGELOG.md</w:t>
            </w:r>
          </w:p>
        </w:tc>
        <w:tc>
          <w:tcPr>
            <w:tcW w:type="dxa" w:w="6460"/>
            <w:tcMar>
              <w:top w:type="dxa" w:w="90"/>
              <w:left w:type="dxa" w:w="130"/>
              <w:bottom w:type="dxa" w:w="90"/>
              <w:right w:type="dxa" w:w="130"/>
            </w:tcMar>
          </w:tcPr>
          <w:p>
            <w:pPr>
              <w:spacing w:after="0" w:line="250"/>
            </w:pPr>
            <w:r>
              <w:rPr>
                <w:color w:val="0F172A"/>
                <w:sz w:val="19"/>
                <w:szCs w:val="19"/>
              </w:rPr>
              <w:t xml:space="preserve">Every change with reasoning, including corrections to earlier claims</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DEPLOYMENT.md</w:t>
            </w:r>
          </w:p>
        </w:tc>
        <w:tc>
          <w:tcPr>
            <w:tcW w:type="dxa" w:w="6460"/>
            <w:tcMar>
              <w:top w:type="dxa" w:w="90"/>
              <w:left w:type="dxa" w:w="130"/>
              <w:bottom w:type="dxa" w:w="90"/>
              <w:right w:type="dxa" w:w="130"/>
            </w:tcMar>
          </w:tcPr>
          <w:p>
            <w:pPr>
              <w:spacing w:after="0" w:line="250"/>
            </w:pPr>
            <w:r>
              <w:rPr>
                <w:color w:val="0F172A"/>
                <w:sz w:val="19"/>
                <w:szCs w:val="19"/>
              </w:rPr>
              <w:t xml:space="preserve">Release sequence, per-target table, rollback for each layer, pre-deploy blockers</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AI_AGENTS_README.md</w:t>
            </w:r>
          </w:p>
        </w:tc>
        <w:tc>
          <w:tcPr>
            <w:tcW w:type="dxa" w:w="6460"/>
            <w:tcMar>
              <w:top w:type="dxa" w:w="90"/>
              <w:left w:type="dxa" w:w="130"/>
              <w:bottom w:type="dxa" w:w="90"/>
              <w:right w:type="dxa" w:w="130"/>
            </w:tcMar>
          </w:tcPr>
          <w:p>
            <w:pPr>
              <w:spacing w:after="0" w:line="250"/>
            </w:pPr>
            <w:r>
              <w:rPr>
                <w:color w:val="0F172A"/>
                <w:sz w:val="19"/>
                <w:szCs w:val="19"/>
              </w:rPr>
              <w:t xml:space="preserve">Rewritten. The previous 706-line version described a directory layout that had not existed since the monorepo split, so every path in it was wrong</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scripts/README.md</w:t>
            </w:r>
          </w:p>
        </w:tc>
        <w:tc>
          <w:tcPr>
            <w:tcW w:type="dxa" w:w="6460"/>
            <w:tcMar>
              <w:top w:type="dxa" w:w="90"/>
              <w:left w:type="dxa" w:w="130"/>
              <w:bottom w:type="dxa" w:w="90"/>
              <w:right w:type="dxa" w:w="130"/>
            </w:tcMar>
          </w:tcPr>
          <w:p>
            <w:pPr>
              <w:spacing w:after="0" w:line="250"/>
            </w:pPr>
            <w:r>
              <w:rPr>
                <w:color w:val="0F172A"/>
                <w:sz w:val="19"/>
                <w:szCs w:val="19"/>
              </w:rPr>
              <w:t xml:space="preserve">Marks which scripts operate on live production data versus which are safe</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0F172A"/>
                <w:sz w:val="19"/>
                <w:szCs w:val="19"/>
              </w:rPr>
              <w:t xml:space="preserve">Package READMEs</w:t>
            </w:r>
          </w:p>
        </w:tc>
        <w:tc>
          <w:tcPr>
            <w:tcW w:type="dxa" w:w="6460"/>
            <w:tcMar>
              <w:top w:type="dxa" w:w="90"/>
              <w:left w:type="dxa" w:w="130"/>
              <w:bottom w:type="dxa" w:w="90"/>
              <w:right w:type="dxa" w:w="130"/>
            </w:tcMar>
          </w:tcPr>
          <w:p>
            <w:pPr>
              <w:spacing w:after="0" w:line="250"/>
            </w:pPr>
            <w:r>
              <w:rPr>
                <w:color w:val="0F172A"/>
                <w:sz w:val="19"/>
                <w:szCs w:val="19"/>
              </w:rPr>
              <w:t xml:space="preserve">Why each shared package exists and the rule against forking it again</w:t>
            </w:r>
          </w:p>
        </w:tc>
      </w:tr>
    </w:tbl>
    <w:p>
      <w:r>
        <w:br w:type="page"/>
      </w:r>
    </w:p>
    <w:p>
      <w:pPr>
        <w:pStyle w:val="Heading1"/>
        <w:spacing w:after="180" w:before="360"/>
      </w:pPr>
      <w:r>
        <w:rPr>
          <w:b/>
          <w:bCs/>
          <w:color w:val="0F172A"/>
          <w:sz w:val="32"/>
          <w:szCs w:val="32"/>
        </w:rPr>
        <w:t xml:space="preserve">6. Decisions Requiring Your Input</w:t>
      </w:r>
    </w:p>
    <w:p>
      <w:pPr>
        <w:spacing w:after="140" w:line="276"/>
      </w:pPr>
      <w:r>
        <w:rPr>
          <w:color w:val="0F172A"/>
          <w:sz w:val="21"/>
          <w:szCs w:val="21"/>
        </w:rPr>
        <w:t xml:space="preserve">Nothing below was changed unilaterally. Each is a judgement about the product or the business, not about the code.</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700"/>
        <w:gridCol w:w="2900"/>
        <w:gridCol w:w="5760"/>
      </w:tblGrid>
      <w:tr>
        <w:trPr>
          <w:tblHeader/>
        </w:trPr>
        <w:tc>
          <w:tcPr>
            <w:tcW w:type="dxa" w:w="700"/>
            <w:shd w:fill="F1F5F9" w:color="auto" w:val="clear"/>
            <w:tcMar>
              <w:top w:type="dxa" w:w="90"/>
              <w:left w:type="dxa" w:w="130"/>
              <w:bottom w:type="dxa" w:w="90"/>
              <w:right w:type="dxa" w:w="130"/>
            </w:tcMar>
          </w:tcPr>
          <w:p>
            <w:pPr>
              <w:spacing w:after="0" w:line="250"/>
            </w:pPr>
            <w:r>
              <w:rPr>
                <w:b/>
                <w:bCs/>
                <w:color w:val="0F172A"/>
                <w:sz w:val="19"/>
                <w:szCs w:val="19"/>
              </w:rPr>
              <w:t xml:space="preserve">#</w:t>
            </w:r>
          </w:p>
        </w:tc>
        <w:tc>
          <w:tcPr>
            <w:tcW w:type="dxa" w:w="2900"/>
            <w:shd w:fill="F1F5F9" w:color="auto" w:val="clear"/>
            <w:tcMar>
              <w:top w:type="dxa" w:w="90"/>
              <w:left w:type="dxa" w:w="130"/>
              <w:bottom w:type="dxa" w:w="90"/>
              <w:right w:type="dxa" w:w="130"/>
            </w:tcMar>
          </w:tcPr>
          <w:p>
            <w:pPr>
              <w:spacing w:after="0" w:line="250"/>
            </w:pPr>
            <w:r>
              <w:rPr>
                <w:b/>
                <w:bCs/>
                <w:color w:val="0F172A"/>
                <w:sz w:val="19"/>
                <w:szCs w:val="19"/>
              </w:rPr>
              <w:t xml:space="preserve">Decision</w:t>
            </w:r>
          </w:p>
        </w:tc>
        <w:tc>
          <w:tcPr>
            <w:tcW w:type="dxa" w:w="5760"/>
            <w:shd w:fill="F1F5F9" w:color="auto" w:val="clear"/>
            <w:tcMar>
              <w:top w:type="dxa" w:w="90"/>
              <w:left w:type="dxa" w:w="130"/>
              <w:bottom w:type="dxa" w:w="90"/>
              <w:right w:type="dxa" w:w="130"/>
            </w:tcMar>
          </w:tcPr>
          <w:p>
            <w:pPr>
              <w:spacing w:after="0" w:line="250"/>
            </w:pPr>
            <w:r>
              <w:rPr>
                <w:b/>
                <w:bCs/>
                <w:color w:val="0F172A"/>
                <w:sz w:val="19"/>
                <w:szCs w:val="19"/>
              </w:rPr>
              <w:t xml:space="preserve">Why it matters</w:t>
            </w:r>
          </w:p>
        </w:tc>
      </w:tr>
      <w:tr>
        <w:tc>
          <w:tcPr>
            <w:tcW w:type="dxa" w:w="700"/>
            <w:tcMar>
              <w:top w:type="dxa" w:w="90"/>
              <w:left w:type="dxa" w:w="130"/>
              <w:bottom w:type="dxa" w:w="90"/>
              <w:right w:type="dxa" w:w="130"/>
            </w:tcMar>
          </w:tcPr>
          <w:p>
            <w:pPr>
              <w:spacing w:after="0" w:line="250"/>
            </w:pPr>
            <w:r>
              <w:rPr>
                <w:b/>
                <w:bCs/>
                <w:color w:val="0F172A"/>
                <w:sz w:val="19"/>
                <w:szCs w:val="19"/>
              </w:rPr>
              <w:t xml:space="preserve">D6</w:t>
            </w:r>
          </w:p>
        </w:tc>
        <w:tc>
          <w:tcPr>
            <w:tcW w:type="dxa" w:w="2900"/>
            <w:tcMar>
              <w:top w:type="dxa" w:w="90"/>
              <w:left w:type="dxa" w:w="130"/>
              <w:bottom w:type="dxa" w:w="90"/>
              <w:right w:type="dxa" w:w="130"/>
            </w:tcMar>
          </w:tcPr>
          <w:p>
            <w:pPr>
              <w:spacing w:after="0" w:line="250"/>
            </w:pPr>
            <w:r>
              <w:rPr>
                <w:color w:val="0F172A"/>
                <w:sz w:val="19"/>
                <w:szCs w:val="19"/>
              </w:rPr>
              <w:t xml:space="preserve">Superadmin test-seeding writes fabricated data to production</w:t>
            </w:r>
          </w:p>
        </w:tc>
        <w:tc>
          <w:tcPr>
            <w:tcW w:type="dxa" w:w="5760"/>
            <w:tcMar>
              <w:top w:type="dxa" w:w="90"/>
              <w:left w:type="dxa" w:w="130"/>
              <w:bottom w:type="dxa" w:w="90"/>
              <w:right w:type="dxa" w:w="130"/>
            </w:tcMar>
          </w:tcPr>
          <w:p>
            <w:pPr>
              <w:spacing w:after="0" w:line="250"/>
            </w:pPr>
            <w:r>
              <w:rPr>
                <w:color w:val="0F172A"/>
                <w:sz w:val="19"/>
                <w:szCs w:val="19"/>
              </w:rPr>
              <w:t xml:space="preserve">On sign-in, the vendor portal writes a "Test Vendor" profile carrying a verified status, a sample food-safety licence number, sample rates and a fabricated 4.5-star review history. The rider portal does the same. This runs in production builds. Behaviour is preserved as-is pending your decision.</w:t>
            </w:r>
          </w:p>
        </w:tc>
      </w:tr>
      <w:tr>
        <w:tc>
          <w:tcPr>
            <w:tcW w:type="dxa" w:w="700"/>
            <w:tcMar>
              <w:top w:type="dxa" w:w="90"/>
              <w:left w:type="dxa" w:w="130"/>
              <w:bottom w:type="dxa" w:w="90"/>
              <w:right w:type="dxa" w:w="130"/>
            </w:tcMar>
          </w:tcPr>
          <w:p>
            <w:pPr>
              <w:spacing w:after="0" w:line="250"/>
            </w:pPr>
            <w:r>
              <w:rPr>
                <w:b/>
                <w:bCs/>
                <w:color w:val="0F172A"/>
                <w:sz w:val="19"/>
                <w:szCs w:val="19"/>
              </w:rPr>
              <w:t xml:space="preserve">D7</w:t>
            </w:r>
          </w:p>
        </w:tc>
        <w:tc>
          <w:tcPr>
            <w:tcW w:type="dxa" w:w="2900"/>
            <w:tcMar>
              <w:top w:type="dxa" w:w="90"/>
              <w:left w:type="dxa" w:w="130"/>
              <w:bottom w:type="dxa" w:w="90"/>
              <w:right w:type="dxa" w:w="130"/>
            </w:tcMar>
          </w:tcPr>
          <w:p>
            <w:pPr>
              <w:spacing w:after="0" w:line="250"/>
            </w:pPr>
            <w:r>
              <w:rPr>
                <w:color w:val="0F172A"/>
                <w:sz w:val="19"/>
                <w:szCs w:val="19"/>
              </w:rPr>
              <w:t xml:space="preserve">Admin interface ships in the public customer bundle</w:t>
            </w:r>
          </w:p>
        </w:tc>
        <w:tc>
          <w:tcPr>
            <w:tcW w:type="dxa" w:w="5760"/>
            <w:tcMar>
              <w:top w:type="dxa" w:w="90"/>
              <w:left w:type="dxa" w:w="130"/>
              <w:bottom w:type="dxa" w:w="90"/>
              <w:right w:type="dxa" w:w="130"/>
            </w:tcMar>
          </w:tcPr>
          <w:p>
            <w:pPr>
              <w:spacing w:after="0" w:line="250"/>
            </w:pPr>
            <w:r>
              <w:rPr>
                <w:color w:val="0F172A"/>
                <w:sz w:val="19"/>
                <w:szCs w:val="19"/>
              </w:rPr>
              <w:t xml:space="preserve">The customer site contains the admin dashboard and user management screens, roughly 2,100 lines, and routes admins there on login. It is wired up and reachable, so not dead code. Security rules still gate the data, making this a bundle-size and attack-surface question rather than an authorisation hole.</w:t>
            </w:r>
          </w:p>
        </w:tc>
      </w:tr>
      <w:tr>
        <w:tc>
          <w:tcPr>
            <w:tcW w:type="dxa" w:w="700"/>
            <w:tcMar>
              <w:top w:type="dxa" w:w="90"/>
              <w:left w:type="dxa" w:w="130"/>
              <w:bottom w:type="dxa" w:w="90"/>
              <w:right w:type="dxa" w:w="130"/>
            </w:tcMar>
          </w:tcPr>
          <w:p>
            <w:pPr>
              <w:spacing w:after="0" w:line="250"/>
            </w:pPr>
            <w:r>
              <w:rPr>
                <w:b/>
                <w:bCs/>
                <w:color w:val="0F172A"/>
                <w:sz w:val="19"/>
                <w:szCs w:val="19"/>
              </w:rPr>
              <w:t xml:space="preserve">D8</w:t>
            </w:r>
          </w:p>
        </w:tc>
        <w:tc>
          <w:tcPr>
            <w:tcW w:type="dxa" w:w="2900"/>
            <w:tcMar>
              <w:top w:type="dxa" w:w="90"/>
              <w:left w:type="dxa" w:w="130"/>
              <w:bottom w:type="dxa" w:w="90"/>
              <w:right w:type="dxa" w:w="130"/>
            </w:tcMar>
          </w:tcPr>
          <w:p>
            <w:pPr>
              <w:spacing w:after="0" w:line="250"/>
            </w:pPr>
            <w:r>
              <w:rPr>
                <w:color w:val="0F172A"/>
                <w:sz w:val="19"/>
                <w:szCs w:val="19"/>
              </w:rPr>
              <w:t xml:space="preserve">Next.js version carries published advisories</w:t>
            </w:r>
          </w:p>
        </w:tc>
        <w:tc>
          <w:tcPr>
            <w:tcW w:type="dxa" w:w="5760"/>
            <w:tcMar>
              <w:top w:type="dxa" w:w="90"/>
              <w:left w:type="dxa" w:w="130"/>
              <w:bottom w:type="dxa" w:w="90"/>
              <w:right w:type="dxa" w:w="130"/>
            </w:tcMar>
          </w:tcPr>
          <w:p>
            <w:pPr>
              <w:spacing w:after="0" w:line="250"/>
            </w:pPr>
            <w:r>
              <w:rPr>
                <w:color w:val="0F172A"/>
                <w:sz w:val="19"/>
                <w:szCs w:val="19"/>
              </w:rPr>
              <w:t xml:space="preserve">One critical and two high findings trace to the pinned version. It is pinned exactly across all five apps and all five depend on static-export behaviour, so an upgrade needs its own tested pass rather than being folded into refactoring work.</w:t>
            </w:r>
          </w:p>
        </w:tc>
      </w:tr>
    </w:tbl>
    <w:p>
      <w:r>
        <w:br w:type="page"/>
      </w:r>
    </w:p>
    <w:p>
      <w:pPr>
        <w:pStyle w:val="Heading1"/>
        <w:spacing w:after="180" w:before="360"/>
      </w:pPr>
      <w:r>
        <w:rPr>
          <w:b/>
          <w:bCs/>
          <w:color w:val="0F172A"/>
          <w:sz w:val="32"/>
          <w:szCs w:val="32"/>
        </w:rPr>
        <w:t xml:space="preserve">7. Work Not Completed</w:t>
      </w:r>
    </w:p>
    <w:p>
      <w:pPr>
        <w:spacing w:after="140" w:line="276"/>
      </w:pPr>
      <w:r>
        <w:rPr>
          <w:color w:val="0F172A"/>
          <w:sz w:val="21"/>
          <w:szCs w:val="21"/>
        </w:rPr>
        <w:t xml:space="preserve">Stated plainly, with the reasoning, so scope decisions stay yours.</w:t>
      </w:r>
    </w:p>
    <w:p>
      <w:pPr>
        <w:pStyle w:val="Heading2"/>
        <w:spacing w:after="140" w:before="280"/>
      </w:pPr>
      <w:r>
        <w:rPr>
          <w:b/>
          <w:bCs/>
          <w:color w:val="E68A00"/>
          <w:sz w:val="25"/>
          <w:szCs w:val="25"/>
        </w:rPr>
        <w:t xml:space="preserve">7.1 Remaining lint (~363 explicit-any, plus unused variables)</w:t>
      </w:r>
    </w:p>
    <w:p>
      <w:pPr>
        <w:spacing w:after="140" w:line="276"/>
      </w:pPr>
      <w:r>
        <w:rPr>
          <w:color w:val="0F172A"/>
          <w:sz w:val="21"/>
          <w:szCs w:val="21"/>
        </w:rPr>
        <w:t xml:space="preserve">Reduced from 510 through three structural fixes. The remainder is not one problem: untyped function parameters, untyped component state, loose record types, and casts into genuinely untyped third-party surfaces. Each needs a per-case judgement about what the correct type is; there is no remaining structural lever.</w:t>
      </w:r>
    </w:p>
    <w:p>
      <w:pPr>
        <w:spacing w:after="140" w:line="276"/>
      </w:pPr>
      <w:r>
        <w:rPr>
          <w:i/>
          <w:iCs/>
          <w:color w:val="0F172A"/>
          <w:sz w:val="21"/>
          <w:szCs w:val="21"/>
        </w:rPr>
        <w:t xml:space="preserve">A correction: I initially advised that typed Firestore converters would resolve most of these. Classifying them by source line showed only five were the shape converters address. The converters were still built and still found a real defect, but the original estimate was wrong.</w:t>
      </w:r>
    </w:p>
    <w:p>
      <w:pPr>
        <w:pStyle w:val="Heading2"/>
        <w:spacing w:after="140" w:before="280"/>
      </w:pPr>
      <w:r>
        <w:rPr>
          <w:b/>
          <w:bCs/>
          <w:color w:val="E68A00"/>
          <w:sz w:val="25"/>
          <w:szCs w:val="25"/>
        </w:rPr>
        <w:t xml:space="preserve">7.2 Effects that derive state from properties (~8 sites)</w:t>
      </w:r>
    </w:p>
    <w:p>
      <w:pPr>
        <w:spacing w:after="140" w:line="276"/>
      </w:pPr>
      <w:r>
        <w:rPr>
          <w:color w:val="0F172A"/>
          <w:sz w:val="21"/>
          <w:szCs w:val="21"/>
        </w:rPr>
        <w:t xml:space="preserve">These are the genuine cases where an effect is unnecessary. Each alters interface behaviour subtly — one resets a form field when a profile loads, and deriving it during render instead can break editing. They need a browser to verify and were not refactored blind.</w:t>
      </w:r>
    </w:p>
    <w:p>
      <w:pPr>
        <w:pStyle w:val="Heading2"/>
        <w:spacing w:after="140" w:before="280"/>
      </w:pPr>
      <w:r>
        <w:rPr>
          <w:b/>
          <w:bCs/>
          <w:color w:val="E68A00"/>
          <w:sz w:val="25"/>
          <w:szCs w:val="25"/>
        </w:rPr>
        <w:t xml:space="preserve">7.3 Visual mobile pass</w:t>
      </w:r>
    </w:p>
    <w:p>
      <w:pPr>
        <w:spacing w:after="140" w:line="276"/>
      </w:pPr>
      <w:r>
        <w:rPr>
          <w:color w:val="0F172A"/>
          <w:sz w:val="21"/>
          <w:szCs w:val="21"/>
        </w:rPr>
        <w:t xml:space="preserve">The structural mobile defects in §2.11 are fixed and verified, because they are provably wrong in source. The visual pass — cramped grids, overflowing cards, tap targets below the recommended minimum, text truncation — was not completed: a sign-in popup held the browser tooling, blocking navigation and screenshots. Rather than make speculative styling changes and describe them as production-ready, this is left open.</w:t>
      </w:r>
    </w:p>
    <w:p>
      <w:pPr>
        <w:pStyle w:val="Heading2"/>
        <w:spacing w:after="140" w:before="280"/>
      </w:pPr>
      <w:r>
        <w:rPr>
          <w:b/>
          <w:bCs/>
          <w:color w:val="E68A00"/>
          <w:sz w:val="25"/>
          <w:szCs w:val="25"/>
        </w:rPr>
        <w:t xml:space="preserve">7.4 Continuous integration</w:t>
      </w:r>
    </w:p>
    <w:p>
      <w:pPr>
        <w:spacing w:after="140" w:line="276"/>
      </w:pPr>
      <w:r>
        <w:rPr>
          <w:color w:val="0F172A"/>
          <w:sz w:val="21"/>
          <w:szCs w:val="21"/>
        </w:rPr>
        <w:t xml:space="preserve">No pipeline exists. </w:t>
      </w:r>
      <w:r>
        <w:rPr>
          <w:rFonts w:ascii="Consolas" w:cs="Consolas" w:eastAsia="Consolas" w:hAnsi="Consolas"/>
          <w:color w:val="0F172A"/>
          <w:sz w:val="21"/>
          <w:szCs w:val="21"/>
        </w:rPr>
        <w:t xml:space="preserve">npm run verify</w:t>
      </w:r>
      <w:r>
        <w:rPr>
          <w:color w:val="0F172A"/>
          <w:sz w:val="21"/>
          <w:szCs w:val="21"/>
        </w:rPr>
        <w:t xml:space="preserve"> was written to be usable as one: it runs typecheck, lint and tests across every workspace unconditionally and prints a pass or fail summary, so one failing step cannot hide the others.</w:t>
      </w:r>
    </w:p>
    <w:p>
      <w:pPr>
        <w:pStyle w:val="Heading2"/>
        <w:spacing w:after="140" w:before="280"/>
      </w:pPr>
      <w:r>
        <w:rPr>
          <w:b/>
          <w:bCs/>
          <w:color w:val="E68A00"/>
          <w:sz w:val="25"/>
          <w:szCs w:val="25"/>
        </w:rPr>
        <w:t xml:space="preserve">7.5 Order address data</w:t>
      </w:r>
    </w:p>
    <w:p>
      <w:pPr>
        <w:spacing w:after="140" w:line="276"/>
      </w:pPr>
      <w:r>
        <w:rPr>
          <w:color w:val="0F172A"/>
          <w:sz w:val="21"/>
          <w:szCs w:val="21"/>
        </w:rPr>
        <w:t xml:space="preserve">Static analysis indicates every code path writing an order uses the coordinate form, so there is likely nothing to repair. Because analysis describes code and not the documents actually stored, two scripts were provided instead of a blind migration: a read-only audit, and a backfill that is a dry run unless explicitly applied, preserves the previous value, and refuses to invent a location. Neither was run against production.</w:t>
      </w:r>
    </w:p>
    <w:p>
      <w:r>
        <w:br w:type="page"/>
      </w:r>
    </w:p>
    <w:p>
      <w:pPr>
        <w:pStyle w:val="Heading1"/>
        <w:spacing w:after="180" w:before="360"/>
      </w:pPr>
      <w:r>
        <w:rPr>
          <w:b/>
          <w:bCs/>
          <w:color w:val="0F172A"/>
          <w:sz w:val="32"/>
          <w:szCs w:val="32"/>
        </w:rPr>
        <w:t xml:space="preserve">8. Verification Status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5400"/>
        <w:gridCol w:w="3960"/>
      </w:tblGrid>
      <w:tr>
        <w:trPr>
          <w:tblHeader/>
        </w:trPr>
        <w:tc>
          <w:tcPr>
            <w:tcW w:type="dxa" w:w="5400"/>
            <w:shd w:fill="F1F5F9" w:color="auto" w:val="clear"/>
            <w:tcMar>
              <w:top w:type="dxa" w:w="90"/>
              <w:left w:type="dxa" w:w="130"/>
              <w:bottom w:type="dxa" w:w="90"/>
              <w:right w:type="dxa" w:w="130"/>
            </w:tcMar>
          </w:tcPr>
          <w:p>
            <w:pPr>
              <w:spacing w:after="0" w:line="250"/>
            </w:pPr>
            <w:r>
              <w:rPr>
                <w:b/>
                <w:bCs/>
                <w:color w:val="0F172A"/>
                <w:sz w:val="19"/>
                <w:szCs w:val="19"/>
              </w:rPr>
              <w:t xml:space="preserve">Check</w:t>
            </w:r>
          </w:p>
        </w:tc>
        <w:tc>
          <w:tcPr>
            <w:tcW w:type="dxa" w:w="3960"/>
            <w:shd w:fill="F1F5F9" w:color="auto" w:val="clear"/>
            <w:tcMar>
              <w:top w:type="dxa" w:w="90"/>
              <w:left w:type="dxa" w:w="130"/>
              <w:bottom w:type="dxa" w:w="90"/>
              <w:right w:type="dxa" w:w="130"/>
            </w:tcMar>
          </w:tcPr>
          <w:p>
            <w:pPr>
              <w:spacing w:after="0" w:line="250"/>
            </w:pPr>
            <w:r>
              <w:rPr>
                <w:b/>
                <w:bCs/>
                <w:color w:val="0F172A"/>
                <w:sz w:val="19"/>
                <w:szCs w:val="19"/>
              </w:rPr>
              <w:t xml:space="preserve">Result</w:t>
            </w:r>
          </w:p>
        </w:tc>
      </w:tr>
      <w:tr>
        <w:tc>
          <w:tcPr>
            <w:tcW w:type="dxa" w:w="5400"/>
            <w:tcMar>
              <w:top w:type="dxa" w:w="90"/>
              <w:left w:type="dxa" w:w="130"/>
              <w:bottom w:type="dxa" w:w="90"/>
              <w:right w:type="dxa" w:w="130"/>
            </w:tcMar>
          </w:tcPr>
          <w:p>
            <w:pPr>
              <w:spacing w:after="0" w:line="250"/>
            </w:pPr>
            <w:r>
              <w:rPr>
                <w:color w:val="0F172A"/>
                <w:sz w:val="19"/>
                <w:szCs w:val="19"/>
              </w:rPr>
              <w:t xml:space="preserve">Typecheck — 5 apps and 5 packages</w:t>
            </w:r>
          </w:p>
        </w:tc>
        <w:tc>
          <w:tcPr>
            <w:tcW w:type="dxa" w:w="3960"/>
            <w:tcMar>
              <w:top w:type="dxa" w:w="90"/>
              <w:left w:type="dxa" w:w="130"/>
              <w:bottom w:type="dxa" w:w="90"/>
              <w:right w:type="dxa" w:w="130"/>
            </w:tcMar>
          </w:tcPr>
          <w:p>
            <w:pPr>
              <w:spacing w:after="0" w:line="250"/>
            </w:pPr>
            <w:r>
              <w:rPr>
                <w:b/>
                <w:bCs/>
                <w:color w:val="047857"/>
                <w:sz w:val="19"/>
                <w:szCs w:val="19"/>
              </w:rPr>
              <w:t xml:space="preserve">Pass</w:t>
            </w:r>
          </w:p>
        </w:tc>
      </w:tr>
      <w:tr>
        <w:tc>
          <w:tcPr>
            <w:tcW w:type="dxa" w:w="5400"/>
            <w:tcMar>
              <w:top w:type="dxa" w:w="90"/>
              <w:left w:type="dxa" w:w="130"/>
              <w:bottom w:type="dxa" w:w="90"/>
              <w:right w:type="dxa" w:w="130"/>
            </w:tcMar>
          </w:tcPr>
          <w:p>
            <w:pPr>
              <w:spacing w:after="0" w:line="250"/>
            </w:pPr>
            <w:r>
              <w:rPr>
                <w:color w:val="0F172A"/>
                <w:sz w:val="19"/>
                <w:szCs w:val="19"/>
              </w:rPr>
              <w:t xml:space="preserve">Typecheck — Cloud Functions</w:t>
            </w:r>
          </w:p>
        </w:tc>
        <w:tc>
          <w:tcPr>
            <w:tcW w:type="dxa" w:w="3960"/>
            <w:tcMar>
              <w:top w:type="dxa" w:w="90"/>
              <w:left w:type="dxa" w:w="130"/>
              <w:bottom w:type="dxa" w:w="90"/>
              <w:right w:type="dxa" w:w="130"/>
            </w:tcMar>
          </w:tcPr>
          <w:p>
            <w:pPr>
              <w:spacing w:after="0" w:line="250"/>
            </w:pPr>
            <w:r>
              <w:rPr>
                <w:b/>
                <w:bCs/>
                <w:color w:val="047857"/>
                <w:sz w:val="19"/>
                <w:szCs w:val="19"/>
              </w:rPr>
              <w:t xml:space="preserve">Pass</w:t>
            </w:r>
          </w:p>
        </w:tc>
      </w:tr>
      <w:tr>
        <w:tc>
          <w:tcPr>
            <w:tcW w:type="dxa" w:w="5400"/>
            <w:tcMar>
              <w:top w:type="dxa" w:w="90"/>
              <w:left w:type="dxa" w:w="130"/>
              <w:bottom w:type="dxa" w:w="90"/>
              <w:right w:type="dxa" w:w="130"/>
            </w:tcMar>
          </w:tcPr>
          <w:p>
            <w:pPr>
              <w:spacing w:after="0" w:line="250"/>
            </w:pPr>
            <w:r>
              <w:rPr>
                <w:color w:val="0F172A"/>
                <w:sz w:val="19"/>
                <w:szCs w:val="19"/>
              </w:rPr>
              <w:t xml:space="preserve">Backend test suite</w:t>
            </w:r>
          </w:p>
        </w:tc>
        <w:tc>
          <w:tcPr>
            <w:tcW w:type="dxa" w:w="3960"/>
            <w:tcMar>
              <w:top w:type="dxa" w:w="90"/>
              <w:left w:type="dxa" w:w="130"/>
              <w:bottom w:type="dxa" w:w="90"/>
              <w:right w:type="dxa" w:w="130"/>
            </w:tcMar>
          </w:tcPr>
          <w:p>
            <w:pPr>
              <w:spacing w:after="0" w:line="250"/>
            </w:pPr>
            <w:r>
              <w:rPr>
                <w:b/>
                <w:bCs/>
                <w:color w:val="047857"/>
                <w:sz w:val="19"/>
                <w:szCs w:val="19"/>
              </w:rPr>
              <w:t xml:space="preserve">Pass — 99 of 99</w:t>
            </w:r>
          </w:p>
        </w:tc>
      </w:tr>
      <w:tr>
        <w:tc>
          <w:tcPr>
            <w:tcW w:type="dxa" w:w="5400"/>
            <w:tcMar>
              <w:top w:type="dxa" w:w="90"/>
              <w:left w:type="dxa" w:w="130"/>
              <w:bottom w:type="dxa" w:w="90"/>
              <w:right w:type="dxa" w:w="130"/>
            </w:tcMar>
          </w:tcPr>
          <w:p>
            <w:pPr>
              <w:spacing w:after="0" w:line="250"/>
            </w:pPr>
            <w:r>
              <w:rPr>
                <w:color w:val="0F172A"/>
                <w:sz w:val="19"/>
                <w:szCs w:val="19"/>
              </w:rPr>
              <w:t xml:space="preserve">Production build — all 5 apps</w:t>
            </w:r>
          </w:p>
        </w:tc>
        <w:tc>
          <w:tcPr>
            <w:tcW w:type="dxa" w:w="3960"/>
            <w:tcMar>
              <w:top w:type="dxa" w:w="90"/>
              <w:left w:type="dxa" w:w="130"/>
              <w:bottom w:type="dxa" w:w="90"/>
              <w:right w:type="dxa" w:w="130"/>
            </w:tcMar>
          </w:tcPr>
          <w:p>
            <w:pPr>
              <w:spacing w:after="0" w:line="250"/>
            </w:pPr>
            <w:r>
              <w:rPr>
                <w:b/>
                <w:bCs/>
                <w:color w:val="047857"/>
                <w:sz w:val="19"/>
                <w:szCs w:val="19"/>
              </w:rPr>
              <w:t xml:space="preserve">Pass</w:t>
            </w:r>
          </w:p>
        </w:tc>
      </w:tr>
      <w:tr>
        <w:tc>
          <w:tcPr>
            <w:tcW w:type="dxa" w:w="5400"/>
            <w:tcMar>
              <w:top w:type="dxa" w:w="90"/>
              <w:left w:type="dxa" w:w="130"/>
              <w:bottom w:type="dxa" w:w="90"/>
              <w:right w:type="dxa" w:w="130"/>
            </w:tcMar>
          </w:tcPr>
          <w:p>
            <w:pPr>
              <w:spacing w:after="0" w:line="250"/>
            </w:pPr>
            <w:r>
              <w:rPr>
                <w:color w:val="0F172A"/>
                <w:sz w:val="19"/>
                <w:szCs w:val="19"/>
              </w:rPr>
              <w:t xml:space="preserve">Lint</w:t>
            </w:r>
          </w:p>
        </w:tc>
        <w:tc>
          <w:tcPr>
            <w:tcW w:type="dxa" w:w="3960"/>
            <w:tcMar>
              <w:top w:type="dxa" w:w="90"/>
              <w:left w:type="dxa" w:w="130"/>
              <w:bottom w:type="dxa" w:w="90"/>
              <w:right w:type="dxa" w:w="130"/>
            </w:tcMar>
          </w:tcPr>
          <w:p>
            <w:pPr>
              <w:spacing w:after="0" w:line="250"/>
            </w:pPr>
            <w:r>
              <w:rPr>
                <w:b/>
                <w:bCs/>
                <w:color w:val="B45309"/>
                <w:sz w:val="19"/>
                <w:szCs w:val="19"/>
              </w:rPr>
              <w:t xml:space="preserve">Known failures — tracked, see §7.1</w:t>
            </w:r>
          </w:p>
        </w:tc>
      </w:tr>
      <w:tr>
        <w:tc>
          <w:tcPr>
            <w:tcW w:type="dxa" w:w="5400"/>
            <w:tcMar>
              <w:top w:type="dxa" w:w="90"/>
              <w:left w:type="dxa" w:w="130"/>
              <w:bottom w:type="dxa" w:w="90"/>
              <w:right w:type="dxa" w:w="130"/>
            </w:tcMar>
          </w:tcPr>
          <w:p>
            <w:pPr>
              <w:spacing w:after="0" w:line="250"/>
            </w:pPr>
            <w:r>
              <w:rPr>
                <w:color w:val="0F172A"/>
                <w:sz w:val="19"/>
                <w:szCs w:val="19"/>
              </w:rPr>
              <w:t xml:space="preserve">Customer app in browser</w:t>
            </w:r>
          </w:p>
        </w:tc>
        <w:tc>
          <w:tcPr>
            <w:tcW w:type="dxa" w:w="3960"/>
            <w:tcMar>
              <w:top w:type="dxa" w:w="90"/>
              <w:left w:type="dxa" w:w="130"/>
              <w:bottom w:type="dxa" w:w="90"/>
              <w:right w:type="dxa" w:w="130"/>
            </w:tcMar>
          </w:tcPr>
          <w:p>
            <w:pPr>
              <w:spacing w:after="0" w:line="250"/>
            </w:pPr>
            <w:r>
              <w:rPr>
                <w:b/>
                <w:bCs/>
                <w:color w:val="047857"/>
                <w:sz w:val="19"/>
                <w:szCs w:val="19"/>
              </w:rPr>
              <w:t xml:space="preserve">Renders with live data</w:t>
            </w:r>
          </w:p>
        </w:tc>
      </w:tr>
      <w:tr>
        <w:tc>
          <w:tcPr>
            <w:tcW w:type="dxa" w:w="5400"/>
            <w:tcMar>
              <w:top w:type="dxa" w:w="90"/>
              <w:left w:type="dxa" w:w="130"/>
              <w:bottom w:type="dxa" w:w="90"/>
              <w:right w:type="dxa" w:w="130"/>
            </w:tcMar>
          </w:tcPr>
          <w:p>
            <w:pPr>
              <w:spacing w:after="0" w:line="250"/>
            </w:pPr>
            <w:r>
              <w:rPr>
                <w:color w:val="0F172A"/>
                <w:sz w:val="19"/>
                <w:szCs w:val="19"/>
              </w:rPr>
              <w:t xml:space="preserve">Role portals in browser</w:t>
            </w:r>
          </w:p>
        </w:tc>
        <w:tc>
          <w:tcPr>
            <w:tcW w:type="dxa" w:w="3960"/>
            <w:tcMar>
              <w:top w:type="dxa" w:w="90"/>
              <w:left w:type="dxa" w:w="130"/>
              <w:bottom w:type="dxa" w:w="90"/>
              <w:right w:type="dxa" w:w="130"/>
            </w:tcMar>
          </w:tcPr>
          <w:p>
            <w:pPr>
              <w:spacing w:after="0" w:line="250"/>
            </w:pPr>
            <w:r>
              <w:rPr>
                <w:b/>
                <w:bCs/>
                <w:color w:val="047857"/>
                <w:sz w:val="19"/>
                <w:szCs w:val="19"/>
              </w:rPr>
              <w:t xml:space="preserve">Render own auth screens</w:t>
            </w:r>
          </w:p>
        </w:tc>
      </w:tr>
    </w:tbl>
    <w:p>
      <w:pPr>
        <w:spacing w:after="160"/>
      </w:pPr>
    </w:p>
    <w:p>
      <w:pPr>
        <w:spacing w:after="140" w:line="276"/>
      </w:pPr>
      <w:r>
        <w:rPr>
          <w:i/>
          <w:iCs/>
          <w:color w:val="0F172A"/>
          <w:sz w:val="21"/>
          <w:szCs w:val="21"/>
        </w:rPr>
        <w:t xml:space="preserve">Every commit was verified before landing. The environment-variable defect in §2.4 is a reminder of the limit of that verification: typecheck, lint and a green production build all agreed the code was correct, and only loading a page in a browser revealed otherwise.</w:t>
      </w:r>
    </w:p>
    <w:p>
      <w:pPr>
        <w:pStyle w:val="Heading1"/>
        <w:spacing w:after="180" w:before="360"/>
      </w:pPr>
      <w:r>
        <w:rPr>
          <w:b/>
          <w:bCs/>
          <w:color w:val="0F172A"/>
          <w:sz w:val="32"/>
          <w:szCs w:val="32"/>
        </w:rPr>
        <w:t xml:space="preserve">9. Before You Deploy</w:t>
      </w: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color="auto" w:val="clear"/>
            <w:tcMar>
              <w:top w:type="dxa" w:w="150"/>
              <w:left w:type="dxa" w:w="200"/>
              <w:bottom w:type="dxa" w:w="150"/>
              <w:right w:type="dxa" w:w="200"/>
            </w:tcMar>
          </w:tcPr>
          <w:p>
            <w:pPr>
              <w:spacing w:after="70"/>
            </w:pPr>
            <w:r>
              <w:rPr>
                <w:b/>
                <w:bCs/>
                <w:color w:val="B91C1C"/>
                <w:sz w:val="21"/>
                <w:szCs w:val="21"/>
              </w:rPr>
              <w:t xml:space="preserve">These must be settled first</w:t>
            </w:r>
          </w:p>
          <w:p>
            <w:pPr>
              <w:spacing w:after="60" w:line="270"/>
            </w:pPr>
            <w:r>
              <w:rPr>
                <w:color w:val="0F172A"/>
                <w:sz w:val="20"/>
                <w:szCs w:val="20"/>
              </w:rPr>
              <w:t xml:space="preserve">1. Rotate the Razorpay API key secret and webhook secret. They were plaintext in source and must be treated as compromised regardless of repository history.</w:t>
            </w:r>
          </w:p>
          <w:p>
            <w:pPr>
              <w:spacing w:after="60" w:line="270"/>
            </w:pPr>
            <w:r>
              <w:rPr>
                <w:color w:val="0F172A"/>
                <w:sz w:val="20"/>
                <w:szCs w:val="20"/>
              </w:rPr>
              <w:t xml:space="preserve">2. Confirm those secrets are configured in the deployed Functions environment. The hardcoded fallbacks are gone, so a missing value now fails loudly rather than silently using the exposed literal.</w:t>
            </w:r>
          </w:p>
          <w:p>
            <w:pPr>
              <w:spacing w:after="60" w:line="270"/>
            </w:pPr>
            <w:r>
              <w:rPr>
                <w:color w:val="0F172A"/>
                <w:sz w:val="20"/>
                <w:szCs w:val="20"/>
              </w:rPr>
              <w:t xml:space="preserve">3. Smoke-test a real checkout. Authentication was added to live payment routes, and the REST fallback path requires a signed-in user at call time.</w:t>
            </w:r>
          </w:p>
          <w:p>
            <w:pPr>
              <w:spacing w:after="60" w:line="270"/>
            </w:pPr>
            <w:r>
              <w:rPr>
                <w:color w:val="0F172A"/>
                <w:sz w:val="20"/>
                <w:szCs w:val="20"/>
              </w:rPr>
              <w:t xml:space="preserve">4. Decide D6 — fabricated verification data currently reaches the production user collection on superadmin sign-in.</w:t>
            </w:r>
          </w:p>
        </w:tc>
      </w:tr>
    </w:tbl>
    <w:p>
      <w:pPr>
        <w:spacing w:after="160"/>
      </w:pPr>
    </w:p>
    <w:p>
      <w:pPr>
        <w:pStyle w:val="Heading2"/>
        <w:spacing w:after="140" w:before="280"/>
      </w:pPr>
      <w:r>
        <w:rPr>
          <w:b/>
          <w:bCs/>
          <w:color w:val="E68A00"/>
          <w:sz w:val="25"/>
          <w:szCs w:val="25"/>
        </w:rPr>
        <w:t xml:space="preserve">Release sequence</w:t>
      </w:r>
    </w:p>
    <w:p>
      <w:pPr>
        <w:spacing w:after="140" w:line="276"/>
      </w:pPr>
      <w:r>
        <w:rPr>
          <w:color w:val="0F172A"/>
          <w:sz w:val="21"/>
          <w:szCs w:val="21"/>
        </w:rPr>
        <w:t xml:space="preserve">Rules and functions are deployed before hosting, because hosting is the easiest layer to roll back and should therefore change last. Full commands, per-target details and rollback procedures are in DEPLOYMENT.md.</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1000"/>
        <w:gridCol w:w="8360"/>
      </w:tblGrid>
      <w:tr>
        <w:trPr>
          <w:tblHeader/>
        </w:trPr>
        <w:tc>
          <w:tcPr>
            <w:tcW w:type="dxa" w:w="1000"/>
            <w:shd w:fill="F1F5F9" w:color="auto" w:val="clear"/>
            <w:tcMar>
              <w:top w:type="dxa" w:w="90"/>
              <w:left w:type="dxa" w:w="130"/>
              <w:bottom w:type="dxa" w:w="90"/>
              <w:right w:type="dxa" w:w="130"/>
            </w:tcMar>
          </w:tcPr>
          <w:p>
            <w:pPr>
              <w:spacing w:after="0" w:line="250"/>
            </w:pPr>
            <w:r>
              <w:rPr>
                <w:b/>
                <w:bCs/>
                <w:color w:val="0F172A"/>
                <w:sz w:val="19"/>
                <w:szCs w:val="19"/>
              </w:rPr>
              <w:t xml:space="preserve">Order</w:t>
            </w:r>
          </w:p>
        </w:tc>
        <w:tc>
          <w:tcPr>
            <w:tcW w:type="dxa" w:w="8360"/>
            <w:shd w:fill="F1F5F9" w:color="auto" w:val="clear"/>
            <w:tcMar>
              <w:top w:type="dxa" w:w="90"/>
              <w:left w:type="dxa" w:w="130"/>
              <w:bottom w:type="dxa" w:w="90"/>
              <w:right w:type="dxa" w:w="130"/>
            </w:tcMar>
          </w:tcPr>
          <w:p>
            <w:pPr>
              <w:spacing w:after="0" w:line="250"/>
            </w:pPr>
            <w:r>
              <w:rPr>
                <w:b/>
                <w:bCs/>
                <w:color w:val="0F172A"/>
                <w:sz w:val="19"/>
                <w:szCs w:val="19"/>
              </w:rPr>
              <w:t xml:space="preserve">Step</w:t>
            </w:r>
          </w:p>
        </w:tc>
      </w:tr>
      <w:tr>
        <w:tc>
          <w:tcPr>
            <w:tcW w:type="dxa" w:w="1000"/>
            <w:tcMar>
              <w:top w:type="dxa" w:w="90"/>
              <w:left w:type="dxa" w:w="130"/>
              <w:bottom w:type="dxa" w:w="90"/>
              <w:right w:type="dxa" w:w="130"/>
            </w:tcMar>
          </w:tcPr>
          <w:p>
            <w:pPr>
              <w:spacing w:after="0" w:line="250"/>
            </w:pPr>
            <w:r>
              <w:rPr>
                <w:color w:val="0F172A"/>
                <w:sz w:val="19"/>
                <w:szCs w:val="19"/>
              </w:rPr>
              <w:t xml:space="preserve">1</w:t>
            </w:r>
          </w:p>
        </w:tc>
        <w:tc>
          <w:tcPr>
            <w:tcW w:type="dxa" w:w="8360"/>
            <w:tcMar>
              <w:top w:type="dxa" w:w="90"/>
              <w:left w:type="dxa" w:w="130"/>
              <w:bottom w:type="dxa" w:w="90"/>
              <w:right w:type="dxa" w:w="130"/>
            </w:tcMar>
          </w:tcPr>
          <w:p>
            <w:pPr>
              <w:spacing w:after="0" w:line="250"/>
            </w:pPr>
            <w:r>
              <w:rPr>
                <w:color w:val="0F172A"/>
                <w:sz w:val="19"/>
                <w:szCs w:val="19"/>
              </w:rPr>
              <w:t xml:space="preserve">Firestore rules, indexes, and Storage rules</w:t>
            </w:r>
          </w:p>
        </w:tc>
      </w:tr>
      <w:tr>
        <w:tc>
          <w:tcPr>
            <w:tcW w:type="dxa" w:w="1000"/>
            <w:tcMar>
              <w:top w:type="dxa" w:w="90"/>
              <w:left w:type="dxa" w:w="130"/>
              <w:bottom w:type="dxa" w:w="90"/>
              <w:right w:type="dxa" w:w="130"/>
            </w:tcMar>
          </w:tcPr>
          <w:p>
            <w:pPr>
              <w:spacing w:after="0" w:line="250"/>
            </w:pPr>
            <w:r>
              <w:rPr>
                <w:color w:val="0F172A"/>
                <w:sz w:val="19"/>
                <w:szCs w:val="19"/>
              </w:rPr>
              <w:t xml:space="preserve">2</w:t>
            </w:r>
          </w:p>
        </w:tc>
        <w:tc>
          <w:tcPr>
            <w:tcW w:type="dxa" w:w="8360"/>
            <w:tcMar>
              <w:top w:type="dxa" w:w="90"/>
              <w:left w:type="dxa" w:w="130"/>
              <w:bottom w:type="dxa" w:w="90"/>
              <w:right w:type="dxa" w:w="130"/>
            </w:tcMar>
          </w:tcPr>
          <w:p>
            <w:pPr>
              <w:spacing w:after="0" w:line="250"/>
            </w:pPr>
            <w:r>
              <w:rPr>
                <w:color w:val="0F172A"/>
                <w:sz w:val="19"/>
                <w:szCs w:val="19"/>
              </w:rPr>
              <w:t xml:space="preserve">Cloud Functions</w:t>
            </w:r>
          </w:p>
        </w:tc>
      </w:tr>
      <w:tr>
        <w:tc>
          <w:tcPr>
            <w:tcW w:type="dxa" w:w="1000"/>
            <w:tcMar>
              <w:top w:type="dxa" w:w="90"/>
              <w:left w:type="dxa" w:w="130"/>
              <w:bottom w:type="dxa" w:w="90"/>
              <w:right w:type="dxa" w:w="130"/>
            </w:tcMar>
          </w:tcPr>
          <w:p>
            <w:pPr>
              <w:spacing w:after="0" w:line="250"/>
            </w:pPr>
            <w:r>
              <w:rPr>
                <w:color w:val="0F172A"/>
                <w:sz w:val="19"/>
                <w:szCs w:val="19"/>
              </w:rPr>
              <w:t xml:space="preserve">3</w:t>
            </w:r>
          </w:p>
        </w:tc>
        <w:tc>
          <w:tcPr>
            <w:tcW w:type="dxa" w:w="8360"/>
            <w:tcMar>
              <w:top w:type="dxa" w:w="90"/>
              <w:left w:type="dxa" w:w="130"/>
              <w:bottom w:type="dxa" w:w="90"/>
              <w:right w:type="dxa" w:w="130"/>
            </w:tcMar>
          </w:tcPr>
          <w:p>
            <w:pPr>
              <w:spacing w:after="0" w:line="250"/>
            </w:pPr>
            <w:r>
              <w:rPr>
                <w:color w:val="0F172A"/>
                <w:sz w:val="19"/>
                <w:szCs w:val="19"/>
              </w:rPr>
              <w:t xml:space="preserve">Build all five applications (static export)</w:t>
            </w:r>
          </w:p>
        </w:tc>
      </w:tr>
      <w:tr>
        <w:tc>
          <w:tcPr>
            <w:tcW w:type="dxa" w:w="1000"/>
            <w:tcMar>
              <w:top w:type="dxa" w:w="90"/>
              <w:left w:type="dxa" w:w="130"/>
              <w:bottom w:type="dxa" w:w="90"/>
              <w:right w:type="dxa" w:w="130"/>
            </w:tcMar>
          </w:tcPr>
          <w:p>
            <w:pPr>
              <w:spacing w:after="0" w:line="250"/>
            </w:pPr>
            <w:r>
              <w:rPr>
                <w:color w:val="0F172A"/>
                <w:sz w:val="19"/>
                <w:szCs w:val="19"/>
              </w:rPr>
              <w:t xml:space="preserve">4</w:t>
            </w:r>
          </w:p>
        </w:tc>
        <w:tc>
          <w:tcPr>
            <w:tcW w:type="dxa" w:w="8360"/>
            <w:tcMar>
              <w:top w:type="dxa" w:w="90"/>
              <w:left w:type="dxa" w:w="130"/>
              <w:bottom w:type="dxa" w:w="90"/>
              <w:right w:type="dxa" w:w="130"/>
            </w:tcMar>
          </w:tcPr>
          <w:p>
            <w:pPr>
              <w:spacing w:after="0" w:line="250"/>
            </w:pPr>
            <w:r>
              <w:rPr>
                <w:color w:val="0F172A"/>
                <w:sz w:val="19"/>
                <w:szCs w:val="19"/>
              </w:rPr>
              <w:t xml:space="preserve">Hosting — all five targets</w:t>
            </w:r>
          </w:p>
        </w:tc>
      </w:tr>
      <w:tr>
        <w:tc>
          <w:tcPr>
            <w:tcW w:type="dxa" w:w="1000"/>
            <w:tcMar>
              <w:top w:type="dxa" w:w="90"/>
              <w:left w:type="dxa" w:w="130"/>
              <w:bottom w:type="dxa" w:w="90"/>
              <w:right w:type="dxa" w:w="130"/>
            </w:tcMar>
          </w:tcPr>
          <w:p>
            <w:pPr>
              <w:spacing w:after="0" w:line="250"/>
            </w:pPr>
            <w:r>
              <w:rPr>
                <w:color w:val="0F172A"/>
                <w:sz w:val="19"/>
                <w:szCs w:val="19"/>
              </w:rPr>
              <w:t xml:space="preserve">5</w:t>
            </w:r>
          </w:p>
        </w:tc>
        <w:tc>
          <w:tcPr>
            <w:tcW w:type="dxa" w:w="8360"/>
            <w:tcMar>
              <w:top w:type="dxa" w:w="90"/>
              <w:left w:type="dxa" w:w="130"/>
              <w:bottom w:type="dxa" w:w="90"/>
              <w:right w:type="dxa" w:w="130"/>
            </w:tcMar>
          </w:tcPr>
          <w:p>
            <w:pPr>
              <w:spacing w:after="0" w:line="250"/>
            </w:pPr>
            <w:r>
              <w:rPr>
                <w:color w:val="0F172A"/>
                <w:sz w:val="19"/>
                <w:szCs w:val="19"/>
              </w:rPr>
              <w:t xml:space="preserve">Capacitor sync and mobile version bump, if shipping to stores</w:t>
            </w:r>
          </w:p>
        </w:tc>
      </w:tr>
    </w:tbl>
    <w:p>
      <w:pPr>
        <w:spacing w:after="220"/>
      </w:pPr>
    </w:p>
    <w:p>
      <w:pPr>
        <w:pBdr>
          <w:top w:val="single" w:color="D6DBE1" w:sz="6"/>
        </w:pBdr>
        <w:spacing w:before="200"/>
      </w:pPr>
    </w:p>
    <w:p>
      <w:pPr>
        <w:spacing w:after="140" w:line="276"/>
        <w:jc w:val="center"/>
      </w:pPr>
      <w:r>
        <w:rPr>
          <w:i/>
          <w:iCs/>
          <w:color w:val="64748B"/>
          <w:sz w:val="18"/>
          <w:szCs w:val="18"/>
        </w:rPr>
        <w:t xml:space="preserve">Prepared with Claude Code. All findings were verified against the codebase; where an earlier assessment proved wrong, the correction is recorded in this report and in CHANGELOG.md.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Dabzzo Codebase Remediation Report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Dabzzo Codebase Remediation Report</dc:title>
  <dc:creator>Dabzzo Engineering</dc:creator>
  <dc:description>Consolidation, security hardening, testing and deployment readiness</dc:description>
  <cp:lastModifiedBy>Un-named</cp:lastModifiedBy>
  <cp:revision>1</cp:revision>
  <dcterms:created xsi:type="dcterms:W3CDTF">2026-09-12T19:02:35.691Z</dcterms:created>
  <dcterms:modified xsi:type="dcterms:W3CDTF">2026-09-12T19:02:35.693Z</dcterms:modified>
</cp:coreProperties>
</file>

<file path=docProps/custom.xml><?xml version="1.0" encoding="utf-8"?>
<Properties xmlns="http://schemas.openxmlformats.org/officeDocument/2006/custom-properties" xmlns:vt="http://schemas.openxmlformats.org/officeDocument/2006/docPropsVTypes"/>
</file>