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478A" w14:textId="77777777" w:rsidR="00D211EE" w:rsidRDefault="00000000">
      <w:pPr>
        <w:spacing w:after="80"/>
        <w:jc w:val="center"/>
      </w:pPr>
      <w:r>
        <w:rPr>
          <w:rFonts w:ascii="Calibri" w:hAnsi="Calibri"/>
          <w:b/>
          <w:color w:val="1F2328"/>
          <w:sz w:val="36"/>
        </w:rPr>
        <w:t>Java EE 8 → Jakarta EE 10 Migration</w:t>
      </w:r>
    </w:p>
    <w:p w14:paraId="40343FF1" w14:textId="77777777" w:rsidR="00D211EE" w:rsidRDefault="00000000">
      <w:pPr>
        <w:spacing w:after="40"/>
        <w:jc w:val="center"/>
      </w:pPr>
      <w:r>
        <w:rPr>
          <w:rFonts w:ascii="Calibri" w:hAnsi="Calibri"/>
          <w:color w:val="57606A"/>
          <w:sz w:val="26"/>
        </w:rPr>
        <w:t>Problem Statement &amp; Solution</w:t>
      </w:r>
    </w:p>
    <w:p w14:paraId="15AE05CB" w14:textId="77777777" w:rsidR="00F720E0" w:rsidRDefault="00000000">
      <w:pPr>
        <w:spacing w:after="320"/>
        <w:jc w:val="center"/>
        <w:rPr>
          <w:rFonts w:ascii="Calibri" w:hAnsi="Calibri"/>
          <w:color w:val="57606A"/>
          <w:sz w:val="28"/>
          <w:szCs w:val="32"/>
        </w:rPr>
      </w:pPr>
      <w:r w:rsidRPr="00F720E0">
        <w:rPr>
          <w:rFonts w:ascii="Calibri" w:hAnsi="Calibri"/>
          <w:color w:val="57606A"/>
          <w:sz w:val="28"/>
          <w:szCs w:val="32"/>
        </w:rPr>
        <w:t>EE-volution Project</w:t>
      </w:r>
    </w:p>
    <w:p w14:paraId="2F85CCFB" w14:textId="2D46F191" w:rsidR="00D211EE" w:rsidRDefault="00000000">
      <w:pPr>
        <w:spacing w:after="320"/>
        <w:jc w:val="center"/>
        <w:rPr>
          <w:rFonts w:ascii="Calibri" w:hAnsi="Calibri"/>
          <w:color w:val="57606A"/>
          <w:sz w:val="20"/>
        </w:rPr>
      </w:pPr>
      <w:r>
        <w:rPr>
          <w:rFonts w:ascii="Calibri" w:hAnsi="Calibri"/>
          <w:color w:val="57606A"/>
          <w:sz w:val="20"/>
        </w:rPr>
        <w:t>August 2026</w:t>
      </w:r>
    </w:p>
    <w:p w14:paraId="3DC04444" w14:textId="25D870D2" w:rsidR="00F720E0" w:rsidRDefault="00F720E0">
      <w:pPr>
        <w:spacing w:after="320"/>
        <w:jc w:val="center"/>
      </w:pPr>
      <w:r w:rsidRPr="00F720E0">
        <w:rPr>
          <w:rFonts w:ascii="Calibri" w:hAnsi="Calibri"/>
          <w:color w:val="57606A"/>
          <w:sz w:val="20"/>
        </w:rPr>
        <w:t>Badal Burathoki</w:t>
      </w:r>
      <w:r>
        <w:rPr>
          <w:rFonts w:ascii="Calibri" w:hAnsi="Calibri"/>
          <w:color w:val="57606A"/>
          <w:sz w:val="20"/>
        </w:rPr>
        <w:t>, Shivaprasad N, Supreeth Roy</w:t>
      </w:r>
    </w:p>
    <w:p w14:paraId="4188CEF6" w14:textId="77777777" w:rsidR="00D211EE" w:rsidRDefault="00000000">
      <w:pPr>
        <w:spacing w:before="280" w:after="80"/>
      </w:pPr>
      <w:r>
        <w:rPr>
          <w:rFonts w:ascii="Calibri" w:hAnsi="Calibri"/>
          <w:b/>
          <w:color w:val="3B82D4"/>
          <w:sz w:val="28"/>
        </w:rPr>
        <w:t>Problem Statement</w:t>
      </w:r>
    </w:p>
    <w:p w14:paraId="38788B42" w14:textId="77777777" w:rsidR="00D211EE" w:rsidRDefault="00000000">
      <w:pPr>
        <w:spacing w:after="120"/>
      </w:pPr>
      <w:r>
        <w:rPr>
          <w:rFonts w:ascii="Calibri" w:hAnsi="Calibri"/>
        </w:rPr>
        <w:t>Migrating enterprise applications from Java EE to Jakarta EE is one of the most pervasive yet underestimated modernisation challenges facing Java organisations today. At its surface it appears to be a simple namespace rename — in practice it cascades into a multi-dimensional engineering problem spanning source code, build systems, runtimes, and operational risk.</w:t>
      </w:r>
    </w:p>
    <w:p w14:paraId="03833F4B" w14:textId="77777777" w:rsidR="00D211EE" w:rsidRDefault="00000000">
      <w:pPr>
        <w:spacing w:before="160" w:after="80"/>
      </w:pPr>
      <w:r>
        <w:rPr>
          <w:rFonts w:ascii="Calibri" w:hAnsi="Calibri"/>
          <w:b/>
          <w:color w:val="1F2328"/>
          <w:sz w:val="24"/>
        </w:rPr>
        <w:t>Key Challenges</w:t>
      </w:r>
    </w:p>
    <w:p w14:paraId="5D1FCB54" w14:textId="77777777" w:rsidR="00D211EE" w:rsidRDefault="00000000">
      <w:pPr>
        <w:pStyle w:val="ListBullet"/>
        <w:spacing w:before="20" w:after="20"/>
        <w:ind w:left="432"/>
      </w:pPr>
      <w:r>
        <w:rPr>
          <w:rFonts w:ascii="Calibri" w:hAnsi="Calibri"/>
          <w:b/>
        </w:rPr>
        <w:t xml:space="preserve">Namespace Shift &amp; Renaming Risks: </w:t>
      </w:r>
      <w:r>
        <w:rPr>
          <w:rFonts w:ascii="Calibri" w:hAnsi="Calibri"/>
        </w:rPr>
        <w:t>All Jakarta EE APIs moved from javax.* to jakarta.*. This breaks Java source, XML deployment descriptors, string literals in annotation values, property keys, and config files. Java SE packages (javax.sql, javax.crypto) must not be renamed — a distinction a naive find-and-replace will get wrong.</w:t>
      </w:r>
    </w:p>
    <w:p w14:paraId="27C8405D" w14:textId="77777777" w:rsidR="00D211EE" w:rsidRDefault="00000000">
      <w:pPr>
        <w:pStyle w:val="ListBullet"/>
        <w:spacing w:before="20" w:after="20"/>
        <w:ind w:left="432"/>
      </w:pPr>
      <w:r>
        <w:rPr>
          <w:rFonts w:ascii="Calibri" w:hAnsi="Calibri"/>
          <w:b/>
        </w:rPr>
        <w:t xml:space="preserve">Dependency Blockers: </w:t>
      </w:r>
      <w:r>
        <w:rPr>
          <w:rFonts w:ascii="Calibri" w:hAnsi="Calibri"/>
        </w:rPr>
        <w:t>Legacy projects depend on unmaintained third-party libraries still using javax.* imports, requiring vendor-compatible releases, bytecode transformation, or complete library replacements.</w:t>
      </w:r>
    </w:p>
    <w:p w14:paraId="485A0A60" w14:textId="77777777" w:rsidR="00D211EE" w:rsidRDefault="00000000">
      <w:pPr>
        <w:pStyle w:val="ListBullet"/>
        <w:spacing w:before="20" w:after="20"/>
        <w:ind w:left="432"/>
      </w:pPr>
      <w:r>
        <w:rPr>
          <w:rFonts w:ascii="Calibri" w:hAnsi="Calibri"/>
          <w:b/>
        </w:rPr>
        <w:t xml:space="preserve">Cascading JDK Upgrades: </w:t>
      </w:r>
      <w:r>
        <w:rPr>
          <w:rFonts w:ascii="Calibri" w:hAnsi="Calibri"/>
        </w:rPr>
        <w:t>Jakarta EE 10 requires JDK 17+. Upgrading from Java 8 introduces additional breaking changes: JAXB and JAX-WS were removed from JDK 11, and module encapsulation rules tightened.</w:t>
      </w:r>
    </w:p>
    <w:p w14:paraId="414CCF81" w14:textId="77777777" w:rsidR="00D211EE" w:rsidRDefault="00000000">
      <w:pPr>
        <w:pStyle w:val="ListBullet"/>
        <w:spacing w:before="20" w:after="20"/>
        <w:ind w:left="432"/>
      </w:pPr>
      <w:r>
        <w:rPr>
          <w:rFonts w:ascii="Calibri" w:hAnsi="Calibri"/>
          <w:b/>
        </w:rPr>
        <w:t xml:space="preserve">Dynamic Code Limitations: </w:t>
      </w:r>
      <w:r>
        <w:rPr>
          <w:rFonts w:ascii="Calibri" w:hAnsi="Calibri"/>
        </w:rPr>
        <w:t>Reflection, custom serialisation, and META-INF/services/javax.* SPI registrations resolve class names at runtime. Automated rewriters cannot safely rename these, creating potential ClassNotFoundException errors in production.</w:t>
      </w:r>
    </w:p>
    <w:p w14:paraId="3AC15E68" w14:textId="77777777" w:rsidR="00D211EE" w:rsidRDefault="00000000">
      <w:pPr>
        <w:pStyle w:val="ListBullet"/>
        <w:spacing w:before="20" w:after="20"/>
        <w:ind w:left="432"/>
      </w:pPr>
      <w:r>
        <w:rPr>
          <w:rFonts w:ascii="Calibri" w:hAnsi="Calibri"/>
          <w:b/>
        </w:rPr>
        <w:t xml:space="preserve">Infrastructure &amp; Operational Risk: </w:t>
      </w:r>
      <w:r>
        <w:rPr>
          <w:rFonts w:ascii="Calibri" w:hAnsi="Calibri"/>
        </w:rPr>
        <w:t>Application servers must be upgraded to Jakarta EE 10-certified runtimes (e.g. Open Liberty 23.0.0.6+), alongside CI/CD pipelines, build plugins, and deployment scripts.</w:t>
      </w:r>
    </w:p>
    <w:p w14:paraId="31FDF404" w14:textId="77777777" w:rsidR="00D211EE" w:rsidRDefault="00000000">
      <w:pPr>
        <w:spacing w:before="280" w:after="80"/>
      </w:pPr>
      <w:r>
        <w:rPr>
          <w:rFonts w:ascii="Calibri" w:hAnsi="Calibri"/>
          <w:b/>
          <w:color w:val="3B82D4"/>
          <w:sz w:val="28"/>
        </w:rPr>
        <w:t>Solution</w:t>
      </w:r>
    </w:p>
    <w:p w14:paraId="7686FB31" w14:textId="77777777" w:rsidR="00D211EE" w:rsidRDefault="00000000">
      <w:pPr>
        <w:spacing w:after="120"/>
      </w:pPr>
      <w:r>
        <w:rPr>
          <w:rFonts w:ascii="Calibri" w:hAnsi="Calibri"/>
        </w:rPr>
        <w:t>A successful migration uses a hybrid approach: deterministic tools for exact mechanical tasks, Generative AI for complex reasoning and judgment calls, and human governance for risk sign-off. The pipeline runs in three ordered layers:</w:t>
      </w:r>
    </w:p>
    <w:p w14:paraId="335F7A6B" w14:textId="77777777" w:rsidR="00D211EE" w:rsidRDefault="00000000">
      <w:pPr>
        <w:spacing w:before="160" w:after="80"/>
      </w:pPr>
      <w:r>
        <w:rPr>
          <w:rFonts w:ascii="Calibri" w:hAnsi="Calibri"/>
          <w:b/>
          <w:color w:val="1F2328"/>
          <w:sz w:val="24"/>
        </w:rPr>
        <w:t>Layer A — Assess (Discovery &amp; Impact Analysis)</w:t>
      </w:r>
    </w:p>
    <w:p w14:paraId="70E818D6" w14:textId="77777777" w:rsidR="00D211EE" w:rsidRDefault="00000000">
      <w:pPr>
        <w:spacing w:after="80"/>
      </w:pPr>
      <w:r>
        <w:rPr>
          <w:rFonts w:ascii="Calibri" w:hAnsi="Calibri"/>
        </w:rPr>
        <w:lastRenderedPageBreak/>
        <w:t>Four parallel discovery tools catalogue all javax.* usage across source files, XML deployment descriptors, config string literals, and Maven dependencies. Eclipse Transformer is then run against the built WAR to determine mechanical coverage and surface judgment-call candidates (reflection, serialisation, SPI registrations) that automated tools cannot safely resolve.</w:t>
      </w:r>
    </w:p>
    <w:p w14:paraId="130DABE7" w14:textId="77777777" w:rsidR="00D211EE" w:rsidRDefault="00000000">
      <w:pPr>
        <w:spacing w:before="160" w:after="80"/>
      </w:pPr>
      <w:r>
        <w:rPr>
          <w:rFonts w:ascii="Calibri" w:hAnsi="Calibri"/>
          <w:b/>
          <w:color w:val="1F2328"/>
          <w:sz w:val="24"/>
        </w:rPr>
        <w:t>Layer B — Plan (Risk Register &amp; Sprint Roadmap)</w:t>
      </w:r>
    </w:p>
    <w:p w14:paraId="0E886E99" w14:textId="77777777" w:rsidR="00D211EE" w:rsidRDefault="00000000">
      <w:pPr>
        <w:spacing w:after="80"/>
      </w:pPr>
      <w:r>
        <w:rPr>
          <w:rFonts w:ascii="Calibri" w:hAnsi="Calibri"/>
        </w:rPr>
        <w:t>AI triages each judgment-call candidate by reading the source file and applying structured outcome logic. A risk register is built with severity, classification, and resolution instructions grounded in a technical reference document. Work items with effort estimates are distributed into an ordered sprint roadmap for architect sign-off.</w:t>
      </w:r>
    </w:p>
    <w:p w14:paraId="2307A778" w14:textId="77777777" w:rsidR="00D211EE" w:rsidRDefault="00000000">
      <w:pPr>
        <w:spacing w:before="160" w:after="80"/>
      </w:pPr>
      <w:r>
        <w:rPr>
          <w:rFonts w:ascii="Calibri" w:hAnsi="Calibri"/>
          <w:b/>
          <w:color w:val="1F2328"/>
          <w:sz w:val="24"/>
        </w:rPr>
        <w:t>Layer C — Migrate (Automated Application &amp; Build Verify)</w:t>
      </w:r>
    </w:p>
    <w:p w14:paraId="77B06FCC" w14:textId="77777777" w:rsidR="00D211EE" w:rsidRDefault="00000000">
      <w:pPr>
        <w:spacing w:after="80"/>
      </w:pPr>
      <w:r>
        <w:rPr>
          <w:rFonts w:ascii="Calibri" w:hAnsi="Calibri"/>
        </w:rPr>
        <w:t>Nine sequential steps apply all non-blocked changes to the source tree: run Eclipse Transformer, copy transformed output back, patch string-literal and Facelets-URI gaps, update pom.xml dependency coordinates, update Liberty server.xml feature names, commit to Git, and verify with a full Maven build.</w:t>
      </w:r>
    </w:p>
    <w:p w14:paraId="610B9109" w14:textId="77777777" w:rsidR="00D211EE" w:rsidRDefault="00000000">
      <w:pPr>
        <w:spacing w:before="120" w:after="40"/>
      </w:pPr>
      <w:r w:rsidRPr="001F2381">
        <w:rPr>
          <w:rFonts w:ascii="Calibri" w:hAnsi="Calibri"/>
          <w:b/>
          <w:sz w:val="28"/>
          <w:szCs w:val="28"/>
        </w:rPr>
        <w:t xml:space="preserve">Impact: </w:t>
      </w:r>
      <w:r>
        <w:rPr>
          <w:rFonts w:ascii="Calibri" w:hAnsi="Calibri"/>
        </w:rPr>
        <w:t>This multi-layer strategy automates up to 80% of repetitive migration tasks, reduces overall migration time by over 50%, prevents accidental Java SE overwrites, and ensures zero business-logic regression through a verified build.</w:t>
      </w:r>
    </w:p>
    <w:p w14:paraId="7948DD2C" w14:textId="5AB39CEE" w:rsidR="00D211EE" w:rsidRDefault="00D211EE" w:rsidP="00671DB3">
      <w:pPr>
        <w:spacing w:before="160"/>
      </w:pPr>
    </w:p>
    <w:sectPr w:rsidR="00D211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940391">
    <w:abstractNumId w:val="8"/>
  </w:num>
  <w:num w:numId="2" w16cid:durableId="1683363395">
    <w:abstractNumId w:val="6"/>
  </w:num>
  <w:num w:numId="3" w16cid:durableId="1802385594">
    <w:abstractNumId w:val="5"/>
  </w:num>
  <w:num w:numId="4" w16cid:durableId="923688342">
    <w:abstractNumId w:val="4"/>
  </w:num>
  <w:num w:numId="5" w16cid:durableId="934705417">
    <w:abstractNumId w:val="7"/>
  </w:num>
  <w:num w:numId="6" w16cid:durableId="1558392948">
    <w:abstractNumId w:val="3"/>
  </w:num>
  <w:num w:numId="7" w16cid:durableId="1190992204">
    <w:abstractNumId w:val="2"/>
  </w:num>
  <w:num w:numId="8" w16cid:durableId="905727479">
    <w:abstractNumId w:val="1"/>
  </w:num>
  <w:num w:numId="9" w16cid:durableId="45988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381"/>
    <w:rsid w:val="0029639D"/>
    <w:rsid w:val="00326F90"/>
    <w:rsid w:val="00671DB3"/>
    <w:rsid w:val="00812288"/>
    <w:rsid w:val="00AA1D8D"/>
    <w:rsid w:val="00B47730"/>
    <w:rsid w:val="00CB0664"/>
    <w:rsid w:val="00D211EE"/>
    <w:rsid w:val="00F72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603D2"/>
  <w14:defaultImageDpi w14:val="300"/>
  <w15:docId w15:val="{E1BE9986-00F6-4D05-9661-A6C45304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Shivaprasad Nanjundaswamy</cp:lastModifiedBy>
  <cp:revision>4</cp:revision>
  <dcterms:created xsi:type="dcterms:W3CDTF">2013-12-23T23:15:00Z</dcterms:created>
  <dcterms:modified xsi:type="dcterms:W3CDTF">2026-08-30T07:45:00Z</dcterms:modified>
  <cp:category/>
</cp:coreProperties>
</file>