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0" w:after="160"/>
        <w:jc w:val="left"/>
      </w:pPr>
      <w:r>
        <w:rPr>
          <w:b/>
          <w:color w:val="1F4D78"/>
          <w:sz w:val="42"/>
        </w:rPr>
        <w:t>星澜公司财务组织与费用审批基础手册</w:t>
      </w:r>
    </w:p>
    <w:p>
      <w:pPr>
        <w:pStyle w:val="Heading1"/>
      </w:pPr>
      <w:r>
        <w:t>一、文档控制信息</w:t>
      </w:r>
    </w:p>
    <w:p>
      <w:pPr>
        <w:keepLines w:val="0"/>
      </w:pPr>
      <w:r>
        <w:t>文件编号 FIN-ORG-001，版本 V1.1，生效日为 2026 年 9 月 1 日，由财务部负责解释。本文定义财务角色、成本中心、年度预算、临时追加、费用审批、付款批次和报销时限；设备资本化与培训费用新增规则以 2026 年 9 月 15 日补充通知为准。</w:t>
      </w:r>
    </w:p>
    <w:p>
      <w:pPr>
        <w:keepLines w:val="0"/>
      </w:pPr>
      <w:r>
        <w:t>成本中心负责人应在年度预算申请中拆分人员、软件、设备、差旅和服务采购等主要类别，并为每类写明数量、单价、发生月份和业务产出。财务部只接受可追溯到业务计划的预算说明。</w:t>
      </w:r>
    </w:p>
    <w:p>
      <w:pPr>
        <w:pStyle w:val="Heading1"/>
      </w:pPr>
      <w:r>
        <w:t>二、财务角色与成本中心</w:t>
      </w:r>
    </w:p>
    <w:p>
      <w:pPr>
        <w:keepLines w:val="0"/>
      </w:pPr>
      <w:r>
        <w:t>财务部负责 AtlasFinance 中的预算、报销、采购付款和资产核算。业务部门负责人对事项真实性、必要性和成本中心负责；财务经理负责合规审核和预算控制；财务负责人负责重大付款和预算例外；总经理办公室负责超过公司授权边界的经营决策。</w:t>
      </w:r>
    </w:p>
    <w:p>
      <w:pPr>
        <w:keepLines w:val="0"/>
      </w:pPr>
      <w:r>
        <w:t>每笔费用必须绑定一个有效成本中心。产品、研发、交付与客户成功、信息安全与运维等部门在发起单据前确认成本中心；跨部门事项只能指定一个主成本中心，并在说明中列出协作部门，不得拆单规避审批。</w:t>
      </w:r>
    </w:p>
    <w:p>
      <w:pPr>
        <w:keepLines w:val="0"/>
      </w:pPr>
      <w:r>
        <w:t>预算执行按已批准额度累计控制，待付款、已付款和已承诺金额均计入占用额。部门负责人发现预计占用额超过余额时，须在新订单或新费用发生前发起追加，不得先承诺再要求财务补录。</w:t>
      </w:r>
    </w:p>
    <w:p>
      <w:pPr>
        <w:pStyle w:val="Heading1"/>
      </w:pPr>
      <w:r>
        <w:t>三、年度预算与临时追加</w:t>
      </w:r>
    </w:p>
    <w:p>
      <w:pPr>
        <w:keepLines w:val="0"/>
      </w:pPr>
      <w:r>
        <w:t>年度预算由部门负责人在上一年度 12 月 15 日前提交，财务部在 5 个工作日内完成口径检查，并由财务负责人汇总后提交总经理办公室批准。预算执行以 AtlasFinance 的已批准额度为准，未完成预算锁定的项目不得进入付款审批。</w:t>
      </w:r>
    </w:p>
    <w:p>
      <w:pPr>
        <w:keepLines w:val="0"/>
      </w:pPr>
      <w:r>
        <w:t>临时追加预算须在支出发生前提交，写明业务必要性、金额、成本中心、预计发生日和不追加的影响。单项追加不超过 50,000 元由财务负责人审批；超过 50,000 元须提交总经理办公室批准。紧急事项也必须在付款前补齐追加记录。</w:t>
      </w:r>
    </w:p>
    <w:p>
      <w:pPr>
        <w:keepLines w:val="0"/>
      </w:pPr>
      <w:r>
        <w:t>审批人应在 AtlasFinance 中查看原始附件和累计金额。相同供应商、相同项目或连续 30 日内的同类支出不得拆分为多张单据规避阈值；财务部发现疑似拆单时先冻结付款并要求说明。</w:t>
      </w:r>
    </w:p>
    <w:p>
      <w:pPr>
        <w:pStyle w:val="Heading1"/>
      </w:pPr>
      <w:r>
        <w:t>四、费用审批层级</w:t>
      </w:r>
    </w:p>
    <w:p>
      <w:pPr>
        <w:keepLines w:val="0"/>
      </w:pPr>
      <w:r>
        <w:t>单笔费用按含税金额执行分级审批：5,000 元及以下由成本中心负责人和部门负责人审批；超过 5,000 元至 50,000 元由财务经理复核；超过 50,000 元至 200,000 元由财务负责人审批；超过 200,000 元由总经理办公室批准。审批人不得审批本人或直接受益事项。</w:t>
      </w:r>
    </w:p>
    <w:p>
      <w:pPr>
        <w:pStyle w:val="ListBullet"/>
      </w:pPr>
      <w:r>
        <w:t>申请人提交业务说明、预算归属、供应商或收款信息和附件清单。</w:t>
      </w:r>
    </w:p>
    <w:p>
      <w:pPr>
        <w:pStyle w:val="ListBullet"/>
      </w:pPr>
      <w:r>
        <w:t>部门负责人确认必要性、数量、交付日期和成本中心。</w:t>
      </w:r>
    </w:p>
    <w:p>
      <w:pPr>
        <w:pStyle w:val="ListBullet"/>
      </w:pPr>
      <w:r>
        <w:t>财务部核对预算余额、金额阈值、税务材料和付款条件。</w:t>
      </w:r>
    </w:p>
    <w:p>
      <w:pPr>
        <w:pStyle w:val="ListBullet"/>
      </w:pPr>
      <w:r>
        <w:t>超预算、拆单或审批链缺失时，财务部退回单据并说明补正项，不以线下口头同意替代系统记录。</w:t>
      </w:r>
    </w:p>
    <w:p>
      <w:pPr>
        <w:keepLines w:val="0"/>
      </w:pPr>
      <w:r>
        <w:t>付款前财务部核对收款主体、合同或订单、验收记录、发票和付款条件。银行账户等敏感支付信息只在受控财务系统中使用，制度、知识库和普通服务台描述不得复制。</w:t>
      </w:r>
    </w:p>
    <w:p>
      <w:pPr>
        <w:pStyle w:val="Heading1"/>
      </w:pPr>
      <w:r>
        <w:t>五、付款批次与报销时限</w:t>
      </w:r>
    </w:p>
    <w:p>
      <w:pPr>
        <w:keepLines w:val="0"/>
      </w:pPr>
      <w:r>
        <w:t>常规付款按每周二、周四两个付款批次处理。业务部门须在付款日前 2 个工作日 17:00 前完成审批并提交完整材料；财务部在批次前完成复核，材料不完整的单据顺延到下一批次。</w:t>
      </w:r>
    </w:p>
    <w:p>
      <w:pPr>
        <w:keepLines w:val="0"/>
      </w:pPr>
      <w:r>
        <w:t>员工报销应在费用发生或返程后 15 个工作日内提交 AtlasFinance。跨月费用按实际发生日归属，超过期限须由部门负责人说明原因并由财务负责人批准；超过 30 个工作日仍未提交的，财务部可将事项列入月度异常清单。</w:t>
      </w:r>
    </w:p>
    <w:p>
      <w:pPr>
        <w:keepLines w:val="0"/>
      </w:pPr>
      <w:r>
        <w:t>报销退回应写明缺失材料、金额差异、预算问题或发票问题，并给出再次提交的截止日。员工完成补正后沿用原业务事项，不新建相同费用以规避退回记录。</w:t>
      </w:r>
    </w:p>
    <w:p>
      <w:pPr>
        <w:pStyle w:val="Heading1"/>
      </w:pPr>
      <w:r>
        <w:t>六、超预算与紧急例外</w:t>
      </w:r>
    </w:p>
    <w:p>
      <w:pPr>
        <w:keepLines w:val="0"/>
      </w:pPr>
      <w:r>
        <w:t>发现预算不足时，申请人不得拆分单据或先付款后补审批，应先提交临时追加预算。已发生的紧急安全或服务连续性事项，可由信息安全与运维组负责人确认紧急性，部门负责人在 1 个工作日内补齐业务说明，财务部在 3 个工作日内完成合规复核。</w:t>
      </w:r>
    </w:p>
    <w:p>
      <w:pPr>
        <w:keepLines w:val="0"/>
      </w:pPr>
      <w:r>
        <w:t>紧急例外不改变金额审批层级，也不豁免发票、验收和付款材料。财务部每月第一个工作日汇总上月例外事项，向财务负责人和总经理办公室报告金额、原因、补批时间及重复发生风险。</w:t>
      </w:r>
    </w:p>
    <w:p>
      <w:pPr>
        <w:keepLines w:val="0"/>
      </w:pPr>
      <w:r>
        <w:t>财务负责人每月复核预算追加、超期报销、拆单疑点和紧急例外四类清单，必要时要求部门负责人提交改进措施。复核结果以 AtlasFinance 记录和服务台事项作为审计依据。</w:t>
      </w:r>
    </w:p>
    <w:p>
      <w:pPr>
        <w:pStyle w:val="Heading1"/>
      </w:pPr>
      <w:r>
        <w:t>七、执行记录与复核</w:t>
      </w:r>
    </w:p>
    <w:p>
      <w:pPr>
        <w:keepLines w:val="0"/>
      </w:pPr>
      <w:r>
        <w:t>财务部按月保存预算执行、付款批次、超期报销、临时追加和紧急例外的复核记录。记录应关联 AtlasFinance 单据号、成本中心、审批岗位、金额和处理日期；如发现制度解释不一致，由财务负责人统一发布书面口径。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受控文件 · 第 </w:t>
    </w:r>
    <w:r>
      <w:rPr>
        <w:rFonts w:ascii="Calibri" w:hAnsi="Calibri" w:eastAsia="Microsoft YaHei"/>
      </w:rPr>
      <w:fldChar w:fldCharType="begin"/>
      <w:instrText xml:space="preserve"> PAGE </w:instrText>
      <w:fldChar w:fldCharType="end"/>
    </w:r>
    <w:r>
      <w:rPr>
        <w:rFonts w:ascii="Calibri" w:hAnsi="Calibri" w:eastAsia="Microsoft YaHei"/>
        <w:color w:val="5B6573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Microsoft YaHei"/>
        <w:color w:val="5B6573"/>
        <w:sz w:val="17"/>
      </w:rPr>
      <w:t>星澜数字科技有限公司 · 内部制度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color w:val="1F29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Calibri" w:hAnsi="Calibri" w:eastAsia="Microsoft YaHei"/>
      <w:b/>
      <w:color w:val="1F4D78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80"/>
    </w:pPr>
    <w:rPr>
      <w:rFonts w:asciiTheme="majorHAnsi" w:eastAsiaTheme="majorEastAsia" w:hAnsiTheme="majorHAnsi" w:cstheme="majorBidi" w:ascii="Calibri" w:hAnsi="Calibri" w:eastAsia="Microsoft YaHei"/>
      <w:i/>
      <w:iCs/>
      <w:color w:val="5B6573"/>
      <w:spacing w:val="15"/>
      <w:sz w:val="2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 w:eastAsia="Microsoft YaHe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 w:eastAsia="Microsoft YaHe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