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60"/>
        <w:jc w:val="left"/>
      </w:pPr>
      <w:r>
        <w:rPr>
          <w:b/>
          <w:color w:val="1F4D78"/>
          <w:sz w:val="42"/>
        </w:rPr>
        <w:t>星澜公司差旅报销采购付款与发票管理制度</w:t>
      </w:r>
    </w:p>
    <w:p>
      <w:pPr>
        <w:pStyle w:val="Heading1"/>
      </w:pPr>
      <w:r>
        <w:t>一、文档控制信息</w:t>
      </w:r>
    </w:p>
    <w:p>
      <w:pPr>
        <w:keepLines w:val="0"/>
      </w:pPr>
      <w:r>
        <w:t>文件编号 FIN-TRV-002，版本 V1.1，生效日为 2026 年 9 月 1 日。本文覆盖出差事前申请、交通住宿、报销材料、采购验收、付款审批和异常发票；费用审批层级沿用《财务组织与费用审批基础手册》。</w:t>
      </w:r>
    </w:p>
    <w:p>
      <w:pPr>
        <w:keepLines w:val="0"/>
      </w:pPr>
      <w:r>
        <w:t>出差申请中的城市、日期和业务目的必须能与会议、交付或故障事项对应。多人同行时由一名申请人维护主事项，其余人员关联同行记录，避免同一张发票被重复报销。</w:t>
      </w:r>
    </w:p>
    <w:p>
      <w:pPr>
        <w:pStyle w:val="Heading1"/>
      </w:pPr>
      <w:r>
        <w:t>二、出差事前申请</w:t>
      </w:r>
    </w:p>
    <w:p>
      <w:pPr>
        <w:keepLines w:val="0"/>
      </w:pPr>
      <w:r>
        <w:t>员工出差须至少提前 3 个工作日在星澜协同平台提交申请，写明出差城市、出发返程日期、业务目的、同行岗位、预计交通住宿金额和成本中心。直属负责人确认必要性和任务结果，部门负责人确认预算；未完成批准不得购买不可退票的交通或住宿。</w:t>
      </w:r>
    </w:p>
    <w:p>
      <w:pPr>
        <w:keepLines w:val="0"/>
      </w:pPr>
      <w:r>
        <w:t>因客户交付或故障响应无法提前 3 个工作日申请时，负责人须在出发前通过服务台标记紧急，并在返程后 2 个工作日内补齐申请和实际行程说明。</w:t>
      </w:r>
    </w:p>
    <w:p>
      <w:pPr>
        <w:keepLines w:val="0"/>
      </w:pPr>
      <w:r>
        <w:t>交通工具选择以安全、任务时效和费用标准综合判断。符合经济舱条件但选择其他交通方式的，须在申请中说明原因；未说明的超出部分由申请人承担。</w:t>
      </w:r>
    </w:p>
    <w:p>
      <w:pPr>
        <w:pStyle w:val="Heading1"/>
      </w:pPr>
      <w:r>
        <w:t>三、交通与住宿标准</w:t>
      </w:r>
    </w:p>
    <w:p>
      <w:pPr>
        <w:keepLines w:val="0"/>
      </w:pPr>
      <w:r>
        <w:t>国内出差优先选择高铁或动车二等座；单程超过 800 公里或预计铁路用时超过 6 小时，经部门负责人批准可选择经济舱。住宿按城市等级和岗位标准执行，申请人须在事前申请中填写城市等级与预计单晚金额；超出标准必须在购买前说明原因并取得部门负责人批准。</w:t>
      </w:r>
    </w:p>
    <w:p>
      <w:pPr>
        <w:pStyle w:val="ListBullet"/>
      </w:pPr>
      <w:r>
        <w:t>交通票据应与申请中的出发、返程日期和城市一致，改签须保留改签凭证。</w:t>
      </w:r>
    </w:p>
    <w:p>
      <w:pPr>
        <w:pStyle w:val="ListBullet"/>
      </w:pPr>
      <w:r>
        <w:t>住宿只报销实际入住夜数，含早餐的套餐不得重复申报餐费。</w:t>
      </w:r>
    </w:p>
    <w:p>
      <w:pPr>
        <w:pStyle w:val="ListBullet"/>
      </w:pPr>
      <w:r>
        <w:t>市内交通按实际发生申报，必须注明日期、起止地点和业务目的，不接受无法说明用途的整笔金额。</w:t>
      </w:r>
    </w:p>
    <w:p>
      <w:pPr>
        <w:keepLines w:val="0"/>
      </w:pPr>
      <w:r>
        <w:t>住宿发生取消、改期或提前退房时，申请人须保留平台订单和退款记录。只报销实际支付且与实际入住相符的金额，酒店套餐中已含项目不得再次列入单独费用。</w:t>
      </w:r>
    </w:p>
    <w:p>
      <w:pPr>
        <w:pStyle w:val="Heading1"/>
      </w:pPr>
      <w:r>
        <w:t>四、报销材料与提交期限</w:t>
      </w:r>
    </w:p>
    <w:p>
      <w:pPr>
        <w:keepLines w:val="0"/>
      </w:pPr>
      <w:r>
        <w:t>报销单必须关联已批准的出差申请，并上传行程单或交通票、住宿发票、住宿清单、业务结果说明和付款凭证。返程后 15 个工作日内提交；材料缺失时财务部在 3 个工作日内退回并列明补正项，补正后重新进入审核队列。</w:t>
      </w:r>
    </w:p>
    <w:p>
      <w:pPr>
        <w:keepLines w:val="0"/>
      </w:pPr>
      <w:r>
        <w:t>同一事项只能提交一张主报销单，交通、住宿和市内交通按发生日列明。部门负责人负责业务真实性，财务部负责预算、金额、发票和付款条件复核。</w:t>
      </w:r>
    </w:p>
    <w:p>
      <w:pPr>
        <w:keepLines w:val="0"/>
      </w:pPr>
      <w:r>
        <w:t>财务部审核报销时先核对申请和行程，再核对票据、金额、支付人与申请人关系。扫描件必须清晰可读，纸质材料按服务台要求归档，任何个人敏感信息不进入知识库正文。</w:t>
      </w:r>
    </w:p>
    <w:p>
      <w:pPr>
        <w:pStyle w:val="Heading1"/>
      </w:pPr>
      <w:r>
        <w:t>五、采购验收与付款</w:t>
      </w:r>
    </w:p>
    <w:p>
      <w:pPr>
        <w:keepLines w:val="0"/>
      </w:pPr>
      <w:r>
        <w:t>采购付款须关联批准的采购申请、合同或订单、到货或服务验收记录和合法发票。使用部门在到货后 5 个工作日内完成验收，写明数量、规格、服务周期和不合格项；财务部收到完整材料后按周二、周四付款批次处理。</w:t>
      </w:r>
    </w:p>
    <w:p>
      <w:pPr>
        <w:keepLines w:val="0"/>
      </w:pPr>
      <w:r>
        <w:t>超过 5,000 元至 50,000 元的采购由财务经理复核，超过 50,000 元至 200,000 元由财务负责人审批，超过 200,000 元由总经理办公室批准。审批层级以含税金额为准，不能通过拆分订单降低级别。</w:t>
      </w:r>
    </w:p>
    <w:p>
      <w:pPr>
        <w:keepLines w:val="0"/>
      </w:pPr>
      <w:r>
        <w:t>采购验收人应与申请人分离；无法分离时由部门负责人指定第二复核岗位。验收不合格须写明整改期限和暂缓付款范围，供应商补交材料后重新完成验收。</w:t>
      </w:r>
    </w:p>
    <w:p>
      <w:pPr>
        <w:pStyle w:val="Heading1"/>
      </w:pPr>
      <w:r>
        <w:t>六、发票异常与超标处理</w:t>
      </w:r>
    </w:p>
    <w:p>
      <w:pPr>
        <w:keepLines w:val="0"/>
      </w:pPr>
      <w:r>
        <w:t>发票抬头、金额、税率、开票日期和供应商信息必须与合同、订单或实际服务一致；发票重复、金额不符、抬头错误或无法验证时，申请人应在 2 个工作日内联系开票方更正，财务部暂停付款并在 AtlasFinance 记录异常原因。</w:t>
      </w:r>
    </w:p>
    <w:p>
      <w:pPr>
        <w:keepLines w:val="0"/>
      </w:pPr>
      <w:r>
        <w:t>交通或住宿超标准但未事前批准的部分原则上不予报销；因安全、停运或不可抗力超标时，申请人须在返程后 2 个工作日内提交说明和证明，由部门负责人确认、财务负责人审批。</w:t>
      </w:r>
    </w:p>
    <w:p>
      <w:pPr>
        <w:keepLines w:val="0"/>
      </w:pPr>
      <w:r>
        <w:t>发票异常超过 3 个工作日未更正时，财务部将单据标记为待处理并通知部门负责人。连续出现同类异常的供应商，财务负责人可要求暂停新增订单并开展专项核查。</w:t>
      </w:r>
    </w:p>
    <w:p>
      <w:pPr>
        <w:pStyle w:val="Heading1"/>
      </w:pPr>
      <w:r>
        <w:t>七、执行记录与复核</w:t>
      </w:r>
    </w:p>
    <w:p>
      <w:pPr>
        <w:keepLines w:val="0"/>
      </w:pPr>
      <w:r>
        <w:t>财务部对差旅和采购单据实行抽查，抽查范围包括事前申请、实际行程、验收、发票和付款结果。抽查发现重复报销、拆单或超标未批时，先暂停相关单据并通知部门负责人，在结论完成前不得以新单据替代原单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受控文件 · 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573"/>
        <w:sz w:val="17"/>
      </w:rPr>
      <w:t>星澜数字科技有限公司 · 内部制度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