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/>
        <w:jc w:val="left"/>
      </w:pPr>
      <w:r>
        <w:rPr>
          <w:b/>
          <w:color w:val="1F4D78"/>
          <w:sz w:val="42"/>
        </w:rPr>
        <w:t>星澜数字科技有限公司基础资料</w:t>
      </w:r>
    </w:p>
    <w:p>
      <w:pPr>
        <w:pStyle w:val="Heading1"/>
      </w:pPr>
      <w:r>
        <w:t>一、文档控制信息</w:t>
      </w:r>
    </w:p>
    <w:p>
      <w:pPr>
        <w:keepLines w:val="0"/>
      </w:pPr>
      <w:r>
        <w:t>文件编号 HR-ORG-001，版本 V1.0，统计基准日为 2026 年 8 月 31 日，生效日为 2026 年 9 月 1 日。本资料由人力行政部维护，涉及公司沿革、地点、组织和部门职责的事实以本文件为唯一权威来源。</w:t>
      </w:r>
    </w:p>
    <w:p>
      <w:pPr>
        <w:keepLines w:val="0"/>
      </w:pPr>
      <w:r>
        <w:t>本文件面向全体员工、管理岗位和承担制度执行职责的部门。对内办理事项统一使用星澜协同平台服务台或制度规定的岗位入口，不使用个人邮箱、私人电话或个人账号。</w:t>
      </w:r>
    </w:p>
    <w:p>
      <w:pPr>
        <w:keepLines w:val="0"/>
      </w:pPr>
      <w:r>
        <w:t>本公司对外业务按产品研发、平台运营、数据服务和知识库交付四类活动归档。公司沿革记录只保留经总经理办公室批准的组织和业务事实，部门介绍、项目宣传或个人履历不得替代本节内容。</w:t>
      </w:r>
    </w:p>
    <w:p>
      <w:pPr>
        <w:pStyle w:val="Heading1"/>
      </w:pPr>
      <w:r>
        <w:t>二、公司沿革与业务定位</w:t>
      </w:r>
    </w:p>
    <w:p>
      <w:pPr>
        <w:keepLines w:val="0"/>
      </w:pPr>
      <w:r>
        <w:t>星澜数字科技有限公司成立于 2019 年 4 月 18 日，是一家完全虚构的企业软件与数据服务公司。公司围绕企业协同平台、数据分析平台和知识库解决方案提供产品研发、交付与持续服务，业务目标是把流程、数据和可检索的制度知识连接到同一套工作体系中。</w:t>
      </w:r>
    </w:p>
    <w:p>
      <w:pPr>
        <w:keepLines w:val="0"/>
      </w:pPr>
      <w:r>
        <w:t>截至 2026 年 8 月 31 日，公司员工规模为 180 人。公司不以个人姓名作为制度审批主体，正式记录使用部门、岗位和系统流水号，便于人员变动后继续追踪责任。</w:t>
      </w:r>
    </w:p>
    <w:p>
      <w:pPr>
        <w:keepLines w:val="0"/>
      </w:pPr>
      <w:r>
        <w:t>总部承担经营管理、客户协同和综合支持，研发中心承担产品工程、平台维护和技术验证。跨地点协作使用星澜协同平台建立事项，申请人应在事项中注明地点、业务目的、接收岗位和完成期限，避免将办公地点误当作审批权限。</w:t>
      </w:r>
    </w:p>
    <w:p>
      <w:pPr>
        <w:pStyle w:val="Heading1"/>
      </w:pPr>
      <w:r>
        <w:t>三、办公地点与组织架构</w:t>
      </w:r>
    </w:p>
    <w:p>
      <w:pPr>
        <w:keepLines w:val="0"/>
      </w:pPr>
      <w:r>
        <w:t>公司总部位于星河市高新技术产业园启明路 88 号 A 座；研发中心位于云港市软件新城澄海路 16 号 3 号楼。两处地址均为公司制度中的虚构地点标识，不代表任何现实企业地址。</w:t>
      </w:r>
    </w:p>
    <w:p>
      <w:pPr>
        <w:keepLines w:val="0"/>
      </w:pPr>
      <w:r>
        <w:t>核心组织包括总经理办公室、人力行政部、财务部、产品部、研发中心、交付与客户成功部、信息安全与运维组。总经理办公室负责经营决策和重大例外；人力行政部负责用工、档案、考勤、福利和培训资格；财务部负责预算、报销、采购付款和资产核算；研发中心负责产品工程；信息安全与运维组负责账号、环境、发布、故障和知识索引运行。</w:t>
      </w:r>
    </w:p>
    <w:p>
      <w:pPr>
        <w:pStyle w:val="ListBullet"/>
      </w:pPr>
      <w:r>
        <w:t>总经理：批准公司级制度、超过部门授权范围的预算和重大风险处置。</w:t>
      </w:r>
    </w:p>
    <w:p>
      <w:pPr>
        <w:pStyle w:val="ListBullet"/>
      </w:pPr>
      <w:r>
        <w:t>人力行政部负责人：批准人事制度执行、入转调离和福利培训事项，并维护 NovaHR 主数据。</w:t>
      </w:r>
    </w:p>
    <w:p>
      <w:pPr>
        <w:pStyle w:val="ListBullet"/>
      </w:pPr>
      <w:r>
        <w:t>财务负责人：批准财务制度范围内的预算、付款、报销和资产核算事项，并维护 AtlasFinance。</w:t>
      </w:r>
    </w:p>
    <w:p>
      <w:pPr>
        <w:pStyle w:val="ListBullet"/>
      </w:pPr>
      <w:r>
        <w:t>信息安全与运维组负责人：批准技术权限、紧急变更和生产风险处置，并维护 ForgeGit、NebulaVPN 与 OrionKB 的运维规则。</w:t>
      </w:r>
    </w:p>
    <w:p>
      <w:pPr>
        <w:keepLines w:val="0"/>
      </w:pPr>
      <w:r>
        <w:t>组织调整时，人力行政部先维护部门和岗位主数据，再由财务部、技术岗位负责人和服务台分别处理成本中心、账号权限和流程配置。调整生效前未完成的事项继续由原负责人确认，新负责人接收后在系统中留下接收时间。</w:t>
      </w:r>
    </w:p>
    <w:p>
      <w:pPr>
        <w:pStyle w:val="Heading1"/>
      </w:pPr>
      <w:r>
        <w:t>四、部门职责与交接边界</w:t>
      </w:r>
    </w:p>
    <w:p>
      <w:pPr>
        <w:keepLines w:val="0"/>
      </w:pPr>
      <w:r>
        <w:t>人力行政部负责员工关系和人员主数据，财务部负责钱款和资产，技术职责由研发中心与信息安全与运维组承担。一个事项涉及多个部门时，发起部门必须在星澜协同平台建立服务台事项并附交接记录，不得以口头通知替代系统留痕。</w:t>
      </w:r>
    </w:p>
    <w:p>
      <w:pPr>
        <w:keepLines w:val="0"/>
      </w:pPr>
      <w:r>
        <w:t>入职、转岗和离职由人力行政部发起人员状态变化；财务部据此处理费用、借款和资产账；信息安全与运维组据此处理账号、权限和设备访问。各部门只确认自己负责的记录，不互相代签完整规则。</w:t>
      </w:r>
    </w:p>
    <w:p>
      <w:pPr>
        <w:keepLines w:val="0"/>
      </w:pPr>
      <w:r>
        <w:t>公司内部联系渠道为星澜协同平台服务台。服务台事项应写明申请岗位、业务条件、期望完成日、附件清单和升级对象；涉及敏感制度内容时只上传制度允许的最小必要材料。</w:t>
      </w:r>
    </w:p>
    <w:p>
      <w:pPr>
        <w:keepLines w:val="0"/>
      </w:pPr>
      <w:r>
        <w:t>管理角色发生变更时，原岗位须在 3 个工作日内完成制度、待办、审批权限和服务台队列交接。总经理办公室对重大制度指定临时代理岗位；临时代理只在授权期限内处理事项，不得借交接复制个人凭据。</w:t>
      </w:r>
    </w:p>
    <w:p>
      <w:pPr>
        <w:pStyle w:val="Heading1"/>
      </w:pPr>
      <w:r>
        <w:t>五、内部系统地图</w:t>
      </w:r>
    </w:p>
    <w:p>
      <w:pPr>
        <w:keepLines w:val="0"/>
      </w:pPr>
      <w:r>
        <w:t>NovaHR 是人事主数据、入转调离、考勤、薪酬和福利的记录系统；AtlasFinance 是预算、报销、采购付款和资产账的记录系统；星澜协同平台承载审批、服务台和制度通知；ForgeGit 承载代码和项目权限；NebulaVPN 承载远程访问；OrionKB 承载已审核知识文档的分区检索。</w:t>
      </w:r>
    </w:p>
    <w:p>
      <w:pPr>
        <w:pStyle w:val="ListBullet"/>
      </w:pPr>
      <w:r>
        <w:t>人事事项以 NovaHR 的人员状态和审批记录为准，制度附件不得替代主数据。</w:t>
      </w:r>
    </w:p>
    <w:p>
      <w:pPr>
        <w:pStyle w:val="ListBullet"/>
      </w:pPr>
      <w:r>
        <w:t>财务事项以 AtlasFinance 的单据、预算和付款状态为准，审批截图不得替代正式单据。</w:t>
      </w:r>
    </w:p>
    <w:p>
      <w:pPr>
        <w:pStyle w:val="ListBullet"/>
      </w:pPr>
      <w:r>
        <w:t>技术事项以 ForgeGit、NebulaVPN、发布记录和运维服务台记录为准，禁止在制度中记录可用账号或访问凭据。</w:t>
      </w:r>
    </w:p>
    <w:p>
      <w:pPr>
        <w:pStyle w:val="ListBullet"/>
      </w:pPr>
      <w:r>
        <w:t>OrionKB 的 Finance、HR、Tech 三个索引彼此独立；文档只有完成审核并达到 ready 状态后，才可作为聊天证据。</w:t>
      </w:r>
    </w:p>
    <w:p>
      <w:pPr>
        <w:keepLines w:val="0"/>
      </w:pPr>
      <w:r>
        <w:t>系统地图用于确定记录归属，不代表所有员工都能访问全部系统。员工只能访问与岗位职责相关的系统和文档，任何跨部门查询应通过服务台提出，由数据所属部门确认最小必要范围。</w:t>
      </w:r>
    </w:p>
    <w:p>
      <w:pPr>
        <w:pStyle w:val="Heading1"/>
      </w:pPr>
      <w:r>
        <w:t>六、制度维护与对内服务</w:t>
      </w:r>
    </w:p>
    <w:p>
      <w:pPr>
        <w:keepLines w:val="0"/>
      </w:pPr>
      <w:r>
        <w:t>本文件由人力行政部每半年复核一次，或在组织、地点、核心系统发生变更后的 10 个工作日内发起修订。修订申请应说明变更事实、影响部门、旧版本处理方式和生效日，由总经理办公室批准后在星澜协同平台发布。</w:t>
      </w:r>
    </w:p>
    <w:p>
      <w:pPr>
        <w:keepLines w:val="0"/>
      </w:pPr>
      <w:r>
        <w:t>员工查询公司基础资料、部门职责或服务入口时，应先检索本文件；若制度与服务台配置不一致，先暂停有风险的操作，在服务台选择人力行政部负责人作为升级岗位。未在本文件明确的个人联系方式不得自行补充到知识库。</w:t>
      </w:r>
    </w:p>
    <w:p>
      <w:pPr>
        <w:keepLines w:val="0"/>
      </w:pPr>
      <w:r>
        <w:t>人力行政部每次复核应记录复核日期、参与岗位、事实变更、影响文件和发布决定。文件发布后，部门负责人须在 5 个工作日内组织受影响岗位阅读确认；未确认的员工仍应遵守已生效制度。</w:t>
      </w:r>
    </w:p>
    <w:p>
      <w:pPr>
        <w:pStyle w:val="Heading1"/>
      </w:pPr>
      <w:r>
        <w:t>七、执行记录与复核</w:t>
      </w:r>
    </w:p>
    <w:p>
      <w:pPr>
        <w:keepLines w:val="0"/>
      </w:pPr>
      <w:r>
        <w:t>复核记录至少包含复核日期、适用版本、事实变更、影响部门、责任岗位和发布决定。任何岗位需要查询但本文未说明的事项，先通过星澜协同平台服务台提交，不以个人理解扩展公司地点、组织、系统或对外联系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受控文件 · 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7"/>
      </w:rPr>
      <w:t>星澜数字科技有限公司 · 内部制度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