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60"/>
        <w:jc w:val="left"/>
      </w:pPr>
      <w:r>
        <w:rPr>
          <w:b/>
          <w:color w:val="1F4D78"/>
          <w:sz w:val="42"/>
        </w:rPr>
        <w:t>星澜公司员工入职转岗离职与档案管理制度</w:t>
      </w:r>
    </w:p>
    <w:p>
      <w:pPr>
        <w:pStyle w:val="Heading1"/>
      </w:pPr>
      <w:r>
        <w:t>一、文档控制信息</w:t>
      </w:r>
    </w:p>
    <w:p>
      <w:pPr>
        <w:keepLines w:val="0"/>
      </w:pPr>
      <w:r>
        <w:t>文件编号 HR-EMP-002，版本 V1.2，生效日为 2026 年 9 月 1 日，由人力行政部负责解释。本文处理入职、转岗、离职和档案事项；财务金额与资产账以 AtlasFinance 和财务制度为准，技术账号与权限以信息安全与运维组规则为准。</w:t>
      </w:r>
    </w:p>
    <w:p>
      <w:pPr>
        <w:keepLines w:val="0"/>
      </w:pPr>
      <w:r>
        <w:t>入职材料的接收清单由人力行政部在 NovaHR 中维护，缺项须逐项标记，不得用聊天记录或口头确认覆盖缺项。涉及资格、岗位或合同条件的差异，由人力行政部负责人在报到前给出处理结论。</w:t>
      </w:r>
    </w:p>
    <w:p>
      <w:pPr>
        <w:pStyle w:val="Heading1"/>
      </w:pPr>
      <w:r>
        <w:t>二、入职材料与首日办理</w:t>
      </w:r>
    </w:p>
    <w:p>
      <w:pPr>
        <w:keepLines w:val="0"/>
      </w:pPr>
      <w:r>
        <w:t>新员工在报到日前 2 个工作日，通过星澜协同平台提交录用确认、学历或资格证明、紧急联系人关系说明、工资卡归属声明和劳动合同签署信息。系统不得收集身份证号、私人电话或私人邮箱到知识库；必要的身份核验只在 NovaHR 的受控表单中完成。</w:t>
      </w:r>
    </w:p>
    <w:p>
      <w:pPr>
        <w:pStyle w:val="ListNumber"/>
      </w:pPr>
      <w:r>
        <w:t>人力行政部在报到日核对材料完整性并在 NovaHR 建立人员记录。</w:t>
      </w:r>
    </w:p>
    <w:p>
      <w:pPr>
        <w:pStyle w:val="ListNumber"/>
      </w:pPr>
      <w:r>
        <w:t>直属岗位负责人在 3 个工作日内提交岗位目标、试用期任务和所需系统清单。</w:t>
      </w:r>
    </w:p>
    <w:p>
      <w:pPr>
        <w:pStyle w:val="ListNumber"/>
      </w:pPr>
      <w:r>
        <w:t>信息安全与运维组收到人员状态为“已入职”的服务台事项后，按最小权限开通 ForgeGit、NebulaVPN 或其他必要访问。</w:t>
      </w:r>
    </w:p>
    <w:p>
      <w:pPr>
        <w:pStyle w:val="ListNumber"/>
      </w:pPr>
      <w:r>
        <w:t>财务部仅在存在借款、费用或资产领用事项时建立对应单据，员工不得以入职邮件代替财务审批。</w:t>
      </w:r>
    </w:p>
    <w:p>
      <w:pPr>
        <w:keepLines w:val="0"/>
      </w:pPr>
      <w:r>
        <w:t>直属负责人制定试用期目标时，应写明交付物、验收标准、检查频率和支持岗位。目标调整须在原目标到期前 5 个工作日完成记录；不得在期满后补写目标来替代评价。</w:t>
      </w:r>
    </w:p>
    <w:p>
      <w:pPr>
        <w:pStyle w:val="Heading1"/>
      </w:pPr>
      <w:r>
        <w:t>三、试用期与转正</w:t>
      </w:r>
    </w:p>
    <w:p>
      <w:pPr>
        <w:keepLines w:val="0"/>
      </w:pPr>
      <w:r>
        <w:t>普通岗位试用期为 3 个月，承担关键技术或管理职责的岗位试用期为 6 个月，具体期限以合同和 NovaHR 记录为准。直属负责人应在期满前 10 个工作日提交目标达成、工作质量、协作表现和风险事项四项评价，人力行政部在收到完整评价后 3 个工作日内发起转正审批。</w:t>
      </w:r>
    </w:p>
    <w:p>
      <w:pPr>
        <w:keepLines w:val="0"/>
      </w:pPr>
      <w:r>
        <w:t>转正审批顺序为直属负责人、部门负责人、人力行政部负责人。任何一项评价缺失不得直接将人员状态改为转正；延期或不予转正必须在 NovaHR 中写明依据和后续日期。</w:t>
      </w:r>
    </w:p>
    <w:p>
      <w:pPr>
        <w:keepLines w:val="0"/>
      </w:pPr>
      <w:r>
        <w:t>转岗交接应按业务资料、在途事项、资产费用、系统权限和人员通知五类整理。新旧负责人共同确认清单，若存在未完成事项，必须写明接收人、风险、截止日期和升级岗位。</w:t>
      </w:r>
    </w:p>
    <w:p>
      <w:pPr>
        <w:pStyle w:val="Heading1"/>
      </w:pPr>
      <w:r>
        <w:t>四、转岗申请与交接</w:t>
      </w:r>
    </w:p>
    <w:p>
      <w:pPr>
        <w:keepLines w:val="0"/>
      </w:pPr>
      <w:r>
        <w:t>员工转岗须由原部门负责人或新部门负责人在计划生效日前 10 个工作日发起，写明新岗位、目标生效日、交接人、需要保留和撤销的系统权限。人力行政部确认人员主数据，财务部确认预算归属和借款资产，信息安全与运维组确认权限变更；三方只处理各自边界。</w:t>
      </w:r>
    </w:p>
    <w:p>
      <w:pPr>
        <w:pStyle w:val="ListBullet"/>
      </w:pPr>
      <w:r>
        <w:t>原岗位负责人负责业务资料、未结事项和交付状态清单。</w:t>
      </w:r>
    </w:p>
    <w:p>
      <w:pPr>
        <w:pStyle w:val="ListBullet"/>
      </w:pPr>
      <w:r>
        <w:t>财务部在 5 个工作日内核对借款、报销、资产领用和成本中心变更。</w:t>
      </w:r>
    </w:p>
    <w:p>
      <w:pPr>
        <w:pStyle w:val="ListBullet"/>
      </w:pPr>
      <w:r>
        <w:t>信息安全与运维组在生效日 18:00 前完成旧岗位高风险权限回收，并按新岗位申请最小权限。</w:t>
      </w:r>
    </w:p>
    <w:p>
      <w:pPr>
        <w:pStyle w:val="ListBullet"/>
      </w:pPr>
      <w:r>
        <w:t>人力行政部在 NovaHR 完成岗位、部门和生效日期变更后，才通知其他系统执行联动。</w:t>
      </w:r>
    </w:p>
    <w:p>
      <w:pPr>
        <w:keepLines w:val="0"/>
      </w:pPr>
      <w:r>
        <w:t>离职交接中的代码、配置和业务文档必须存放在公司批准系统，不能转存个人设备。交接人确认资料可用、权限已回收且待办已转移后，直属负责人才能在服务台提交完成意见。</w:t>
      </w:r>
    </w:p>
    <w:p>
      <w:pPr>
        <w:pStyle w:val="Heading1"/>
      </w:pPr>
      <w:r>
        <w:t>五、离职提前期与交接</w:t>
      </w:r>
    </w:p>
    <w:p>
      <w:pPr>
        <w:keepLines w:val="0"/>
      </w:pPr>
      <w:r>
        <w:t>员工提交离职申请后，直属负责人须在 2 个工作日内确认最后工作日，人力行政部在 3 个工作日内核对合同约定和审批路径。离职交接至少提前 10 个工作日启动；关键岗位或涉及未结交付的事项，部门负责人可提出延长交接计划，但必须在服务台留下批准记录。</w:t>
      </w:r>
    </w:p>
    <w:p>
      <w:pPr>
        <w:pStyle w:val="ListNumber"/>
      </w:pPr>
      <w:r>
        <w:t>直属负责人确认业务、文档、客户交付和未结事项接收人。</w:t>
      </w:r>
    </w:p>
    <w:p>
      <w:pPr>
        <w:pStyle w:val="ListNumber"/>
      </w:pPr>
      <w:r>
        <w:t>财务部在最后工作日前 5 个工作日核对借款、报销、培训费用和资产账。</w:t>
      </w:r>
    </w:p>
    <w:p>
      <w:pPr>
        <w:pStyle w:val="ListNumber"/>
      </w:pPr>
      <w:r>
        <w:t>信息安全与运维组在最后工作日 18:00 前回收 ForgeGit、NebulaVPN 及其他授权，保留必要审计记录。</w:t>
      </w:r>
    </w:p>
    <w:p>
      <w:pPr>
        <w:pStyle w:val="ListNumber"/>
      </w:pPr>
      <w:r>
        <w:t>人力行政部在三方记录齐全后办理档案、证明和 NovaHR 离职状态。</w:t>
      </w:r>
    </w:p>
    <w:p>
      <w:pPr>
        <w:keepLines w:val="0"/>
      </w:pPr>
      <w:r>
        <w:t>档案更正须由员工在服务台说明更正字段、原因和支持材料，人力行政部在 5 个工作日内完成核对。已归档材料不得直接覆盖，应保留更正记录、处理人和生效时间。</w:t>
      </w:r>
    </w:p>
    <w:p>
      <w:pPr>
        <w:pStyle w:val="Heading1"/>
      </w:pPr>
      <w:r>
        <w:t>六、档案、证明与异常升级</w:t>
      </w:r>
    </w:p>
    <w:p>
      <w:pPr>
        <w:keepLines w:val="0"/>
      </w:pPr>
      <w:r>
        <w:t>人力行政部只在 NovaHR 和受控档案位置保存合同、审批、评价和交接凭证。离职证明在人员状态完成离职且交接记录完整后 5 个工作日内出具；档案缺项时先向员工列明缺少材料和补交期限，不在知识库复制个人材料。</w:t>
      </w:r>
    </w:p>
    <w:p>
      <w:pPr>
        <w:keepLines w:val="0"/>
      </w:pPr>
      <w:r>
        <w:t>入转调离过程中出现人员状态与系统权限不一致、资产未清或最后工作日争议时，由人力行政部负责人牵头，在 1 个工作日内建立服务台升级事项；财务和技术岗位负责人分别确认本部门记录，任何一方不得绕过审批直接改动另一部门数据。</w:t>
      </w:r>
    </w:p>
    <w:p>
      <w:pPr>
        <w:keepLines w:val="0"/>
      </w:pPr>
      <w:r>
        <w:t>发现离职状态已生效但仍有高风险权限、资产未归还或财务单据未结时，人力行政部负责人应将事项标记为异常交接，并在 1 个工作日内召集财务和技术岗位负责人确认处置顺序。</w:t>
      </w:r>
    </w:p>
    <w:p>
      <w:pPr>
        <w:pStyle w:val="Heading1"/>
      </w:pPr>
      <w:r>
        <w:t>七、执行记录与复核</w:t>
      </w:r>
    </w:p>
    <w:p>
      <w:pPr>
        <w:keepLines w:val="0"/>
      </w:pPr>
      <w:r>
        <w:t>每个入转调离事项关闭前，服务台必须关联 NovaHR 状态、负责人确认、财务核对和技术权限记录。人力行政部按月抽查已关闭事项，重点检查最后工作日、权限回收时间、资产交接和证明出具日期是否能够相互印证。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受控文件 · 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573"/>
        <w:sz w:val="17"/>
      </w:rPr>
      <w:t>星澜数字科技有限公司 · 内部制度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