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60"/>
        <w:jc w:val="left"/>
      </w:pPr>
      <w:r>
        <w:rPr>
          <w:b/>
          <w:color w:val="1F4D78"/>
          <w:sz w:val="42"/>
        </w:rPr>
        <w:t>星澜公司考勤休假薪酬福利管理办法</w:t>
      </w:r>
    </w:p>
    <w:p>
      <w:pPr>
        <w:pStyle w:val="Heading1"/>
      </w:pPr>
      <w:r>
        <w:t>一、文档控制信息</w:t>
      </w:r>
    </w:p>
    <w:p>
      <w:pPr>
        <w:keepLines w:val="0"/>
      </w:pPr>
      <w:r>
        <w:t>文件编号 HR-ATT-003，版本 V1.2，生效日为 2026 年 9 月 1 日，由人力行政部负责解释。本文规定工作时间、考勤、休假、加班、薪酬和基础福利；培训认证新增资格与年度福利新增项以 HR-2026-09 补充通知为准。</w:t>
      </w:r>
    </w:p>
    <w:p>
      <w:pPr>
        <w:keepLines w:val="0"/>
      </w:pPr>
      <w:r>
        <w:t>考勤记录按人员、日期、工作时段和审批状态保存。部门负责人每月确认时应核对异常清单、排班变化和已批准的出差或休假，不能仅批量点击通过。</w:t>
      </w:r>
    </w:p>
    <w:p>
      <w:pPr>
        <w:pStyle w:val="Heading1"/>
      </w:pPr>
      <w:r>
        <w:t>二、工作时间与考勤记录</w:t>
      </w:r>
    </w:p>
    <w:p>
      <w:pPr>
        <w:keepLines w:val="0"/>
      </w:pPr>
      <w:r>
        <w:t>标准工作日为周一至周五，工作时间 09:00 至 18:00，午休 12:00 至 13:00。员工通过 NovaHR 完成每日考勤，研发中心和交付岗位如因排班采用不同工作时段，须由部门负责人在月度排班中明确并由人力行政部备案。</w:t>
      </w:r>
    </w:p>
    <w:p>
      <w:pPr>
        <w:keepLines w:val="0"/>
      </w:pPr>
      <w:r>
        <w:t>迟到超过 10 分钟须在当日 18:00 前提交说明；当日漏打卡须在次一工作日 12:00 前发起补卡，直属负责人在 2 个工作日内处理。每月补卡超过 3 次时，人力行政部在当月考勤结算前通知员工和部门负责人复核。</w:t>
      </w:r>
    </w:p>
    <w:p>
      <w:pPr>
        <w:keepLines w:val="0"/>
      </w:pPr>
      <w:r>
        <w:t>休假申请被退回时，审批人须选择余额不足、材料不全、业务交接未完成或日期冲突等明确原因。员工补交材料后重新申请，原申请记录保留，不通过删除历史来改变审批结果。</w:t>
      </w:r>
    </w:p>
    <w:p>
      <w:pPr>
        <w:pStyle w:val="Heading1"/>
      </w:pPr>
      <w:r>
        <w:t>三、年假、病假与事假</w:t>
      </w:r>
    </w:p>
    <w:p>
      <w:pPr>
        <w:keepLines w:val="0"/>
      </w:pPr>
      <w:r>
        <w:t>年假须至少提前 3 个工作日在 NovaHR 提交，直属负责人审批后由人力行政部核对余额；连续 3 个工作日及以上的休假还需部门负责人确认。病假超过 1 个工作日时，员工须在返岗后 2 个工作日内补交合规医疗证明；事假按实际需要申请，但不得用事假替代已发生的缺勤。</w:t>
      </w:r>
    </w:p>
    <w:p>
      <w:pPr>
        <w:pStyle w:val="ListBullet"/>
      </w:pPr>
      <w:r>
        <w:t>余额不足时系统不得批准年假；员工应改用其他可适用假别或先取得人力行政部书面确认。</w:t>
      </w:r>
    </w:p>
    <w:p>
      <w:pPr>
        <w:pStyle w:val="ListBullet"/>
      </w:pPr>
      <w:r>
        <w:t>紧急休假可先通过服务台报备，员工须在返岗后 1 个工作日内补录 NovaHR 申请。</w:t>
      </w:r>
    </w:p>
    <w:p>
      <w:pPr>
        <w:pStyle w:val="ListBullet"/>
      </w:pPr>
      <w:r>
        <w:t>跨月休假按休假开始日所在月份提交，薪酬核算前未完成审批的记录进入异常清单。</w:t>
      </w:r>
    </w:p>
    <w:p>
      <w:pPr>
        <w:keepLines w:val="0"/>
      </w:pPr>
      <w:r>
        <w:t>病假、事假和年假连续跨越薪酬结算日时，员工和负责人须在结算日前确认起止日期。人力行政部发现系统余额与审批记录不一致时，以已批准记录为依据建立更正事项。</w:t>
      </w:r>
    </w:p>
    <w:p>
      <w:pPr>
        <w:pStyle w:val="Heading1"/>
      </w:pPr>
      <w:r>
        <w:t>四、加班与调休</w:t>
      </w:r>
    </w:p>
    <w:p>
      <w:pPr>
        <w:keepLines w:val="0"/>
      </w:pPr>
      <w:r>
        <w:t>加班须在发生前由直属负责人通过星澜协同平台批准，申请中写明任务、开始结束时间和交付结果；紧急故障无法事前申请时，负责人须在次一工作日 12:00 前补录。加班记录以 NovaHR 审批记录为准，未经批准的延时工作不自动形成调休余额。</w:t>
      </w:r>
    </w:p>
    <w:p>
      <w:pPr>
        <w:keepLines w:val="0"/>
      </w:pPr>
      <w:r>
        <w:t>调休须在加班记录确认后 60 个自然日内使用，至少提前 2 个工作日申请。超过期限未使用的余额按系统规则失效；人力行政部在失效前 5 个工作日向员工和负责人推送提醒。</w:t>
      </w:r>
    </w:p>
    <w:p>
      <w:pPr>
        <w:keepLines w:val="0"/>
      </w:pPr>
      <w:r>
        <w:t>加班申请中的开始和结束时间不得与已批准休假、出差或排班冲突。故障响应等紧急场景补录时，须补充事件单号、负责人和实际交付结果，确保调休余额可被复核。</w:t>
      </w:r>
    </w:p>
    <w:p>
      <w:pPr>
        <w:pStyle w:val="Heading1"/>
      </w:pPr>
      <w:r>
        <w:t>五、薪酬周期与福利</w:t>
      </w:r>
    </w:p>
    <w:p>
      <w:pPr>
        <w:keepLines w:val="0"/>
      </w:pPr>
      <w:r>
        <w:t>薪酬按自然月核算，考勤和薪资变动数据在每月 5 日 18:00 前由部门负责人确认，人力行政部在每月 8 日前完成 NovaHR 汇总，财务部按月度付款批次处理，发放日为每月 15 日；遇非工作日顺延至下一工作日。</w:t>
      </w:r>
    </w:p>
    <w:p>
      <w:pPr>
        <w:keepLines w:val="0"/>
      </w:pPr>
      <w:r>
        <w:t>基础福利包括符合岗位条件的餐饮补贴、通讯补贴和健康检查安排，具体资格以 NovaHR 的人员状态、岗位和当期福利配置为准。员工离职或无薪停职状态生效后，次月起停止新增月度福利；已发生且已批准的费用按财务制度办理。</w:t>
      </w:r>
    </w:p>
    <w:p>
      <w:pPr>
        <w:keepLines w:val="0"/>
      </w:pPr>
      <w:r>
        <w:t>福利资格变更以人员状态和当月生效记录为准。员工转岗时，原岗位福利与新岗位福利不得在同一期间重复计取；人力行政部在月度结算前完成差异核对并通知员工。</w:t>
      </w:r>
    </w:p>
    <w:p>
      <w:pPr>
        <w:pStyle w:val="Heading1"/>
      </w:pPr>
      <w:r>
        <w:t>六、异常申诉与制度衔接</w:t>
      </w:r>
    </w:p>
    <w:p>
      <w:pPr>
        <w:keepLines w:val="0"/>
      </w:pPr>
      <w:r>
        <w:t>员工发现考勤、休假、薪酬或福利记录错误，应在当月薪酬确认日前通过服务台提交事项，附日期、系统记录和直属负责人确认。人力行政部在 3 个工作日内给出处理结论；涉及付款的差异由财务部在 2 个工作日内核对 AtlasFinance。</w:t>
      </w:r>
    </w:p>
    <w:p>
      <w:pPr>
        <w:keepLines w:val="0"/>
      </w:pPr>
      <w:r>
        <w:t>本办法与 2026 年 9 月 15 日生效的《培训认证与年度福利补充通知》不一致时，补充通知仅对明确列出的新增福利和资格条款优先；未被补充的工作时间、考勤、薪酬周期和停发条件继续适用本办法。</w:t>
      </w:r>
    </w:p>
    <w:p>
      <w:pPr>
        <w:keepLines w:val="0"/>
      </w:pPr>
      <w:r>
        <w:t>申诉结论应写明核对的系统记录、适用版本、调整字段和生效月份。若差异已经影响薪酬发放，财务部按批准的更正记录处理，不允许通过线下现金或个人转账绕过 AtlasFinance。</w:t>
      </w:r>
    </w:p>
    <w:p>
      <w:pPr>
        <w:pStyle w:val="Heading1"/>
      </w:pPr>
      <w:r>
        <w:t>七、执行记录与复核</w:t>
      </w:r>
    </w:p>
    <w:p>
      <w:pPr>
        <w:keepLines w:val="0"/>
      </w:pPr>
      <w:r>
        <w:t>人力行政部每月留存考勤结算、休假余额、调休到期和福利停发清单。清单中的异常项必须有负责人、处理期限和结论；系统纠错完成后保留原记录与更正记录，便于员工在薪酬结算前复核。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受控文件 · 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B6573"/>
        <w:sz w:val="17"/>
      </w:rPr>
      <w:t>星澜数字科技有限公司 · 内部制度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D7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Calibri" w:hAnsi="Calibri" w:eastAsia="Microsoft YaHei"/>
      <w:i/>
      <w:iCs/>
      <w:color w:val="5B6573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