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60"/>
        <w:jc w:val="left"/>
      </w:pPr>
      <w:r>
        <w:rPr>
          <w:b/>
          <w:color w:val="1F4D78"/>
          <w:sz w:val="42"/>
        </w:rPr>
        <w:t>星澜公司技术平台与信息安全基础手册</w:t>
      </w:r>
    </w:p>
    <w:p>
      <w:pPr>
        <w:pStyle w:val="Heading1"/>
      </w:pPr>
      <w:r>
        <w:t>一、文档控制信息</w:t>
      </w:r>
    </w:p>
    <w:p>
      <w:pPr>
        <w:keepLines w:val="0"/>
      </w:pPr>
      <w:r>
        <w:t>文件编号 TECH-SEC-001，版本 V1.0，生效日为 2026 年 9 月 1 日，由信息安全与运维组负责解释。本文定义技术平台、环境、账号、最小权限、设备安全、数据分级、事件等级和升级角色；具体发布与故障步骤以技术变更规范为准。</w:t>
      </w:r>
    </w:p>
    <w:p>
      <w:pPr>
        <w:keepLines w:val="0"/>
      </w:pPr>
      <w:r>
        <w:t>系统负责人应为每个系统维护业务用途、数据类别、环境范围和责任岗位清单。新增系统在上线前完成服务台登记，登记内容只使用可公开的系统标识，不记录连接串、凭据或内网拓扑。</w:t>
      </w:r>
    </w:p>
    <w:p>
      <w:pPr>
        <w:pStyle w:val="Heading1"/>
      </w:pPr>
      <w:r>
        <w:t>二、系统地图与运行环境</w:t>
      </w:r>
    </w:p>
    <w:p>
      <w:pPr>
        <w:keepLines w:val="0"/>
      </w:pPr>
      <w:r>
        <w:t>公司使用星澜协同平台承载审批与服务台，NovaHR 承载人事主数据，AtlasFinance 承载财务单据，ForgeGit 承载代码和项目权限，NebulaVPN 承载远程访问，OrionKB 承载经审核知识文档的检索。系统名称是制度中的固定标识，不在文档中记录连接串、生产 URL 或可用账号。</w:t>
      </w:r>
    </w:p>
    <w:p>
      <w:pPr>
        <w:keepLines w:val="0"/>
      </w:pPr>
      <w:r>
        <w:t>技术系统按测试、预发布和生产三个环境隔离。测试环境用于功能验证，预发布环境用于候选版本验收，生产环境只接受批准的发布单。环境之间不得复制真实业务数据；需要验证时使用脱敏或构造数据，并通过服务台登记数据范围。</w:t>
      </w:r>
    </w:p>
    <w:p>
      <w:pPr>
        <w:keepLines w:val="0"/>
      </w:pPr>
      <w:r>
        <w:t>预发布环境的配置和版本应尽量接近生产，但测试数据必须脱敏或构造。跨环境复制数据前，发起人须写明数据字段、保留时间和清理责任，经信息安全与运维组确认后执行。</w:t>
      </w:r>
    </w:p>
    <w:p>
      <w:pPr>
        <w:pStyle w:val="Heading1"/>
      </w:pPr>
      <w:r>
        <w:t>三、账号身份与最小权限</w:t>
      </w:r>
    </w:p>
    <w:p>
      <w:pPr>
        <w:keepLines w:val="0"/>
      </w:pPr>
      <w:r>
        <w:t>员工账号由人力行政部确认人员状态后，由信息安全与运维组按岗位申请开通。权限申请必须写明系统、项目、角色、使用目的、起止日期和直属负责人；默认授予只读或最低可用权限，写入、发布和管理权限必须单独说明。</w:t>
      </w:r>
    </w:p>
    <w:p>
      <w:pPr>
        <w:pStyle w:val="ListBullet"/>
      </w:pPr>
      <w:r>
        <w:t>ForgeGit 项目权限按项目角色授予，不共享账号、不在制度或工单中粘贴密码和 Token。</w:t>
      </w:r>
    </w:p>
    <w:p>
      <w:pPr>
        <w:pStyle w:val="ListBullet"/>
      </w:pPr>
      <w:r>
        <w:t>NebulaVPN 仅向有远程办公或值班需求的岗位开放，设备变更和丢失须立即通过服务台报备。</w:t>
      </w:r>
    </w:p>
    <w:p>
      <w:pPr>
        <w:pStyle w:val="ListBullet"/>
      </w:pPr>
      <w:r>
        <w:t>人员转岗和离职以 NovaHR 状态为联动起点；高风险权限应在岗位生效或最后工作日 18:00 前完成调整。</w:t>
      </w:r>
    </w:p>
    <w:p>
      <w:pPr>
        <w:pStyle w:val="ListBullet"/>
      </w:pPr>
      <w:r>
        <w:t>权限记录至少保留申请、审批、授予、变更和回收时间，审计以系统日志和服务台记录为准。</w:t>
      </w:r>
    </w:p>
    <w:p>
      <w:pPr>
        <w:keepLines w:val="0"/>
      </w:pPr>
      <w:r>
        <w:t>权限申请按岗位职责和业务期限授予，临时权限到期后自动或人工回收均须留下记录。项目负责人不得把个人权限转交他人使用，代理期间应重新提交代理岗位的申请。</w:t>
      </w:r>
    </w:p>
    <w:p>
      <w:pPr>
        <w:pStyle w:val="Heading1"/>
      </w:pPr>
      <w:r>
        <w:t>四、设备安全与数据分级</w:t>
      </w:r>
    </w:p>
    <w:p>
      <w:pPr>
        <w:keepLines w:val="0"/>
      </w:pPr>
      <w:r>
        <w:t>公司设备必须启用系统更新、磁盘加密、屏幕自动锁定和受控终端防护。设备丢失、疑似泄露或发现恶意软件时，员工应在 30 分钟内通过服务台报备，不得自行删除日志或继续使用受影响设备。</w:t>
      </w:r>
    </w:p>
    <w:p>
      <w:pPr>
        <w:keepLines w:val="0"/>
      </w:pPr>
      <w:r>
        <w:t>数据分为公开、内部、受限和敏感四级。公开内容可在批准渠道发布；内部内容只在公司系统使用；受限内容须限制岗位和保存位置；敏感内容不得写入知识库。制度检索资料只纳入允许公开给内部员工的规则正文，不纳入密钥、个人身份信息、客户名称或供应商账户。</w:t>
      </w:r>
    </w:p>
    <w:p>
      <w:pPr>
        <w:keepLines w:val="0"/>
      </w:pPr>
      <w:r>
        <w:t>设备安全检查包括补丁、加密、锁屏、防护状态和可疑外设。发现设备不符合要求时，信息安全与运维组可限制高风险系统访问，员工应先完成整改再申请恢复。</w:t>
      </w:r>
    </w:p>
    <w:p>
      <w:pPr>
        <w:pStyle w:val="Heading1"/>
      </w:pPr>
      <w:r>
        <w:t>五、事件等级与响应</w:t>
      </w:r>
    </w:p>
    <w:p>
      <w:pPr>
        <w:keepLines w:val="0"/>
      </w:pPr>
      <w:r>
        <w:t>P1 事件为生产不可用、重大数据风险或多个核心业务受影响，值班工程师须在 15 分钟内响应，信息安全与运维组负责人在 30 分钟内接管；P2 事件为单一核心服务降级或影响一个重要业务流程，须在 30 分钟内响应；P3 事件为一般缺陷或低影响请求，在 1 个工作日内响应。</w:t>
      </w:r>
    </w:p>
    <w:p>
      <w:pPr>
        <w:keepLines w:val="0"/>
      </w:pPr>
      <w:r>
        <w:t>事件单必须记录发现时间、影响范围、环境、现象、已执行操作和当前负责人。P1 事件每 2 小时更新一次状态，恢复后 3 个工作日内完成复盘；P2/P3 按服务台约定关闭并保留处理记录。</w:t>
      </w:r>
    </w:p>
    <w:p>
      <w:pPr>
        <w:keepLines w:val="0"/>
      </w:pPr>
      <w:r>
        <w:t>事件分级以实际影响和扩散风险为准，不能因暂时没有客户投诉而降低等级。值班工程师每次升级都要补充影响范围、当前缓解措施、下一次更新时间和需要的决策岗位。</w:t>
      </w:r>
    </w:p>
    <w:p>
      <w:pPr>
        <w:pStyle w:val="Heading1"/>
      </w:pPr>
      <w:r>
        <w:t>六、服务台与升级角色</w:t>
      </w:r>
    </w:p>
    <w:p>
      <w:pPr>
        <w:keepLines w:val="0"/>
      </w:pPr>
      <w:r>
        <w:t>技术申请、权限、故障和知识索引运维统一进入星澜协同平台服务台。信息安全与运维组负责受理、分级和协调；研发中心负责代码和应用缺陷；产品部确认业务优先级；人力行政部负责人员状态；财务部负责费用和资产。</w:t>
      </w:r>
    </w:p>
    <w:p>
      <w:pPr>
        <w:keepLines w:val="0"/>
      </w:pPr>
      <w:r>
        <w:t>服务台无法在规定响应时间内定位负责人时，升级至信息安全与运维组负责人；涉及人员状态和账号联动时同时抄送人力行政部负责人；涉及付款、资产或培训费用时由财务负责人确认财务边界。</w:t>
      </w:r>
    </w:p>
    <w:p>
      <w:pPr>
        <w:keepLines w:val="0"/>
      </w:pPr>
      <w:r>
        <w:t>服务台关闭技术事项前，申请人或业务负责人须确认结果。无法联系申请人时，处理人应记录通知次数和等待期限；P1、P2 事项不得以无人回复作为唯一关闭依据。</w:t>
      </w:r>
    </w:p>
    <w:p>
      <w:pPr>
        <w:pStyle w:val="Heading1"/>
      </w:pPr>
      <w:r>
        <w:t>七、执行记录与复核</w:t>
      </w:r>
    </w:p>
    <w:p>
      <w:pPr>
        <w:keepLines w:val="0"/>
      </w:pPr>
      <w:r>
        <w:t>信息安全与运维组按月复核账号、环境、设备、事件和服务台记录，重点关注人员状态变化后的权限回收、受限数据留存和 P1 复盘完成情况。复核记录只保留必要字段，不把凭据、内网地址或个人信息复制到制度材料。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受控文件 · 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573"/>
        <w:sz w:val="17"/>
      </w:rPr>
      <w:t>星澜数字科技有限公司 · 内部制度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D7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 w:eastAsia="Microsoft YaHei"/>
      <w:i/>
      <w:iCs/>
      <w:color w:val="5B6573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