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160"/>
        <w:jc w:val="left"/>
      </w:pPr>
      <w:r>
        <w:rPr>
          <w:b/>
          <w:color w:val="1F4D78"/>
          <w:sz w:val="42"/>
        </w:rPr>
        <w:t>星澜公司账号权限发布回滚与故障处理规范</w:t>
      </w:r>
    </w:p>
    <w:p>
      <w:pPr>
        <w:pStyle w:val="Heading1"/>
      </w:pPr>
      <w:r>
        <w:t>一、文档控制信息</w:t>
      </w:r>
    </w:p>
    <w:p>
      <w:pPr>
        <w:keepLines w:val="0"/>
      </w:pPr>
      <w:r>
        <w:t>文件编号 TECH-OPS-002，版本 V1.2，生效日为 2026 年 9 月 1 日，由信息安全与运维组负责解释。本文覆盖 ForgeGit、NebulaVPN、入转离权限联动、发布窗口、发布检查、回滚、Docker/502 排查和紧急变更。</w:t>
      </w:r>
    </w:p>
    <w:p>
      <w:pPr>
        <w:keepLines w:val="0"/>
      </w:pPr>
      <w:r>
        <w:t>ForgeGit 权限申请的结束日期按项目里程碑或值班周期填写，不能使用无限期描述。权限变更完成后，申请人和项目负责人应检查仓库范围与角色，发现超授立即通过服务台回收。</w:t>
      </w:r>
    </w:p>
    <w:p>
      <w:pPr>
        <w:pStyle w:val="Heading1"/>
      </w:pPr>
      <w:r>
        <w:t>二、ForgeGit 与 NebulaVPN 权限</w:t>
      </w:r>
    </w:p>
    <w:p>
      <w:pPr>
        <w:keepLines w:val="0"/>
      </w:pPr>
      <w:r>
        <w:t>项目负责人在 ForgeGit 权限申请中写明项目、角色、仓库范围、使用目的、开始日期和结束日期；直属负责人确认业务需要，信息安全与运维组确认最小权限。维护者、发布者和管理员角色必须注明值班或发布职责，未注明结束日期的高风险权限默认只授予 30 个自然日。</w:t>
      </w:r>
    </w:p>
    <w:p>
      <w:pPr>
        <w:keepLines w:val="0"/>
      </w:pPr>
      <w:r>
        <w:t>NebulaVPN 申请须写明远程场景、设备资产标识、访问时段和目标系统类别，由直属负责人和信息安全与运维组负责人审批。设备丢失或人员离职时，服务台接单后 30 分钟内冻结 VPN 会话并启动账号核对。</w:t>
      </w:r>
    </w:p>
    <w:p>
      <w:pPr>
        <w:keepLines w:val="0"/>
      </w:pPr>
      <w:r>
        <w:t>NebulaVPN 只允许从登记设备发起远程访问。设备维修、转交或丢失时，员工须先报备再交接设备，信息安全与运维组核对会话、设备和最近访问记录后才恢复授权。</w:t>
      </w:r>
    </w:p>
    <w:p>
      <w:pPr>
        <w:pStyle w:val="Heading1"/>
      </w:pPr>
      <w:r>
        <w:t>三、入转离权限联动</w:t>
      </w:r>
    </w:p>
    <w:p>
      <w:pPr>
        <w:keepLines w:val="0"/>
      </w:pPr>
      <w:r>
        <w:t>人力行政部在 NovaHR 完成入职状态后提交系统清单，信息安全与运维组在 1 个工作日内完成普通权限；生产写入、发布和管理员权限需要额外审批。转岗在新岗位生效日 18:00 前撤销旧岗位高风险权限，按新岗位重新申请，不能自动继承。</w:t>
      </w:r>
    </w:p>
    <w:p>
      <w:pPr>
        <w:keepLines w:val="0"/>
      </w:pPr>
      <w:r>
        <w:t>离职以 NovaHR 的最后工作日和状态为准。信息安全与运维组在最后工作日 18:00 前回收 ForgeGit、NebulaVPN 及其他授权，保留审计记录；人力行政部负责确认人员状态，财务部负责资产和借款，三方不互相代替审批。</w:t>
      </w:r>
    </w:p>
    <w:p>
      <w:pPr>
        <w:keepLines w:val="0"/>
      </w:pPr>
      <w:r>
        <w:t>转岗权限回收和新权限申请分别记录，不因部门负责人相同而合并。人力行政部发现生效日期变化时，应更新 NovaHR 并通知技术岗位重新核对旧岗位高风险权限。</w:t>
      </w:r>
    </w:p>
    <w:p>
      <w:pPr>
        <w:pStyle w:val="Heading1"/>
      </w:pPr>
      <w:r>
        <w:t>四、发布窗口与发布前检查</w:t>
      </w:r>
    </w:p>
    <w:p>
      <w:pPr>
        <w:keepLines w:val="0"/>
      </w:pPr>
      <w:r>
        <w:t>常规生产发布窗口为周二、周四 20:00 至 22:00，发布单须至少提前 1 个工作日提交。发布者在执行前检查代码版本、依赖变更、数据库变更、配置差异、监控、备份和回滚包，并在 ForgeGit 关联评审记录。</w:t>
      </w:r>
    </w:p>
    <w:p>
      <w:pPr>
        <w:pStyle w:val="ListNumber"/>
      </w:pPr>
      <w:r>
        <w:t>研发中心在预发布环境完成验收并记录结果。</w:t>
      </w:r>
    </w:p>
    <w:p>
      <w:pPr>
        <w:pStyle w:val="ListNumber"/>
      </w:pPr>
      <w:r>
        <w:t>信息安全与运维组核对发布单、审批链、变更范围和窗口。</w:t>
      </w:r>
    </w:p>
    <w:p>
      <w:pPr>
        <w:pStyle w:val="ListNumber"/>
      </w:pPr>
      <w:r>
        <w:t>发布者按清单执行，记录开始时间、步骤、观察指标和结束状态。</w:t>
      </w:r>
    </w:p>
    <w:p>
      <w:pPr>
        <w:pStyle w:val="ListNumber"/>
      </w:pPr>
      <w:r>
        <w:t>发布完成后观察 30 分钟；无异常才关闭发布单，否则进入故障或回滚流程。</w:t>
      </w:r>
    </w:p>
    <w:p>
      <w:pPr>
        <w:keepLines w:val="0"/>
      </w:pPr>
      <w:r>
        <w:t>发布单中的数据库变更必须明确备份位置、执行人、验证语句和回滚限制。没有可验证回滚路径的变更不得进入常规窗口，需由信息安全与运维组负责人决定是否延期或按紧急流程处理。</w:t>
      </w:r>
    </w:p>
    <w:p>
      <w:pPr>
        <w:pStyle w:val="Heading1"/>
      </w:pPr>
      <w:r>
        <w:t>五、回滚与 Docker/502 排查</w:t>
      </w:r>
    </w:p>
    <w:p>
      <w:pPr>
        <w:keepLines w:val="0"/>
      </w:pPr>
      <w:r>
        <w:t>出现错误率持续 10 分钟上升、核心接口连续 5 分钟返回 502、数据写入异常或监控显示关键指标越过服务阈值时，发布者应停止后续步骤并评估回滚。P1 影响下由信息安全与运维组负责人批准回滚；紧急情况下可先恢复服务，再在 1 个工作日内补齐记录。</w:t>
      </w:r>
    </w:p>
    <w:p>
      <w:pPr>
        <w:keepLines w:val="0"/>
      </w:pPr>
      <w:r>
        <w:t>Docker/502 按顺序排查：确认容器运行状态和重启次数；检查应用日志与最近发布差异；核对容器监听端口和反向代理转发配置；检查依赖服务健康状态；若 15 分钟内无法恢复且影响仍在扩大，执行批准的回滚并升级 P1。排查记录不得粘贴密码、Token 或内部地址。</w:t>
      </w:r>
    </w:p>
    <w:p>
      <w:pPr>
        <w:keepLines w:val="0"/>
      </w:pPr>
      <w:r>
        <w:t>排查 502 时不得反复重启容器掩盖根因。每次重启需记录时间、容器状态、日志摘要和指标变化；涉及配置差异时使用受控变更记录，不能把敏感配置复制到工单正文。</w:t>
      </w:r>
    </w:p>
    <w:p>
      <w:pPr>
        <w:pStyle w:val="Heading1"/>
      </w:pPr>
      <w:r>
        <w:t>六、紧急变更与复盘</w:t>
      </w:r>
    </w:p>
    <w:p>
      <w:pPr>
        <w:keepLines w:val="0"/>
      </w:pPr>
      <w:r>
        <w:t>紧急变更仅限修复安全风险、重大故障或防止服务中断。发起人须在服务台说明风险、影响、拟变更步骤、回滚方式和验证指标，由信息安全与运维组负责人确认；执行后 1 个工作日内补齐代码评审、配置差异和审批记录。</w:t>
      </w:r>
    </w:p>
    <w:p>
      <w:pPr>
        <w:keepLines w:val="0"/>
      </w:pPr>
      <w:r>
        <w:t>P1 事件恢复后 3 个工作日内完成复盘，至少包含时间线、触发原因、影响范围、检测缺口、回滚结果和改进负责人。重复发生两次的同类问题必须形成预防性变更，由研发中心和信息安全与运维组共同跟踪。</w:t>
      </w:r>
    </w:p>
    <w:p>
      <w:pPr>
        <w:keepLines w:val="0"/>
      </w:pPr>
      <w:r>
        <w:t>紧急变更结束后，执行人应在 1 个工作日内补交实际步骤与偏差。复盘形成的改进项必须指定岗位、完成日期和验证方式，不能只写“持续观察”或“后续优化”。</w:t>
      </w:r>
    </w:p>
    <w:p>
      <w:pPr>
        <w:pStyle w:val="Heading1"/>
      </w:pPr>
      <w:r>
        <w:t>七、执行记录与复核</w:t>
      </w:r>
    </w:p>
    <w:p>
      <w:pPr>
        <w:keepLines w:val="0"/>
      </w:pPr>
      <w:r>
        <w:t>发布和权限事项关闭前必须关联申请、审批、实际执行和验证结果。信息安全与运维组按月抽查高风险权限到期回收、发布窗口偏差、回滚记录和紧急变更补录；抽查发现缺项时在服务台建立整改事项并指定截止日期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受控文件 · 第 </w:t>
    </w:r>
    <w:r>
      <w:rPr>
        <w:rFonts w:ascii="Calibri" w:hAnsi="Calibri" w:eastAsia="Microsoft YaHei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B6573"/>
        <w:sz w:val="17"/>
      </w:rPr>
      <w:t>星澜数字科技有限公司 · 内部制度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F4D78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Calibri" w:hAnsi="Calibri" w:eastAsia="Microsoft YaHei"/>
      <w:i/>
      <w:iCs/>
      <w:color w:val="5B6573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