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</w:trPr>
        <w:tc>
          <w:tcPr>
            <w:tcW w:type="dxa" w:w="920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Title"/>
              <w:keepNext w:val="0"/>
              <w:keepLines w:val="0"/>
              <w:spacing w:before="0" w:after="60" w:lineRule="exact" w:line="480"/>
              <w:ind w:left="0" w:firstLine="0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i w:val="0"/>
                <w:color w:val="000000"/>
                <w:sz w:val="40"/>
                <w:u w:val="none"/>
              </w:rPr>
              <w:t>杜云浩</w:t>
            </w:r>
          </w:p>
          <w:p>
            <w:pPr>
              <w:keepNext w:val="0"/>
              <w:keepLines w:val="0"/>
              <w:spacing w:before="0" w:after="0" w:lineRule="exact" w:line="280"/>
              <w:ind w:left="0" w:firstLine="0"/>
              <w:jc w:val="center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20"/>
                <w:u w:val="none"/>
              </w:rPr>
              <w:t>天津市智能无人集群技术与系统重点实验室</w:t>
            </w:r>
          </w:p>
          <w:p>
            <w:pPr>
              <w:keepNext w:val="0"/>
              <w:keepLines w:val="0"/>
              <w:spacing w:before="0" w:after="0" w:lineRule="exact" w:line="280"/>
              <w:ind w:left="0" w:firstLine="0"/>
              <w:jc w:val="center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20"/>
                <w:u w:val="none"/>
              </w:rPr>
              <w:t>天津大学电气自动化与信息工程学院</w:t>
            </w:r>
          </w:p>
          <w:p>
            <w:pPr>
              <w:keepNext w:val="0"/>
              <w:keepLines w:val="0"/>
              <w:spacing w:before="0" w:after="0" w:lineRule="exact" w:line="280"/>
              <w:ind w:left="0" w:firstLine="0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i w:val="0"/>
                <w:color w:val="000000"/>
                <w:sz w:val="20"/>
                <w:u w:val="none"/>
              </w:rPr>
              <w:t>地址：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20"/>
                <w:u w:val="none"/>
              </w:rPr>
              <w:t>天津市南开区卫津路 92 号</w:t>
            </w:r>
          </w:p>
          <w:p>
            <w:pPr>
              <w:keepNext w:val="0"/>
              <w:keepLines w:val="0"/>
              <w:spacing w:before="0" w:after="0" w:lineRule="exact" w:line="280"/>
              <w:ind w:left="0" w:firstLine="0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i w:val="0"/>
                <w:color w:val="000000"/>
                <w:sz w:val="20"/>
                <w:u w:val="none"/>
              </w:rPr>
              <w:t>邮箱：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20"/>
                <w:u w:val="none"/>
              </w:rPr>
              <w:t>clouduh@tju.edu.cn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20"/>
                <w:u w:val="none"/>
              </w:rPr>
              <w:t xml:space="preserve">  |  </w:t>
            </w:r>
            <w:r>
              <w:rPr>
                <w:rFonts w:ascii="Source Han Sans CN" w:hAnsi="Source Han Sans CN" w:eastAsia="Source Han Sans CN" w:cs="Source Han Sans CN"/>
                <w:b/>
                <w:i w:val="0"/>
                <w:color w:val="000000"/>
                <w:sz w:val="20"/>
                <w:u w:val="none"/>
              </w:rPr>
              <w:t>电话：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20"/>
                <w:u w:val="none"/>
              </w:rPr>
              <w:t>(+86) 13954349756</w:t>
            </w:r>
          </w:p>
        </w:tc>
        <w:tc>
          <w:tcPr>
            <w:tcW w:type="dxa" w:w="154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keepLines w:val="0"/>
              <w:spacing w:before="40" w:after="0"/>
              <w:ind w:lef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5500" cy="1061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0_Im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106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keepNext/>
        <w:keepLines w:val="0"/>
        <w:spacing w:before="200" w:after="140" w:lineRule="exact" w:line="420"/>
        <w:ind w:left="0" w:firstLine="0"/>
        <w:jc w:val="left"/>
        <w:pBdr>
          <w:bottom w:val="single" w:sz="56" w:space="1" w:color="3F72AF"/>
        </w:pBdr>
      </w:pPr>
      <w:r>
        <w:rPr>
          <w:rFonts w:ascii="Source Han Sans CN" w:hAnsi="Source Han Sans CN" w:eastAsia="Source Han Sans CN" w:cs="Source Han Sans CN"/>
          <w:b/>
          <w:i w:val="0"/>
          <w:color w:val="112D4E"/>
          <w:sz w:val="28"/>
          <w:u w:val="none"/>
        </w:rPr>
        <w:t>研究方向</w:t>
      </w:r>
    </w:p>
    <w:p>
      <w:pPr>
        <w:keepNext/>
        <w:keepLines w:val="0"/>
        <w:spacing w:before="0" w:after="20" w:lineRule="exact" w:line="340"/>
        <w:ind w:left="0" w:firstLine="0"/>
        <w:jc w:val="left"/>
      </w:pPr>
      <w:r>
        <w:rPr>
          <w:rFonts w:ascii="Source Han Sans CN" w:hAnsi="Source Han Sans CN" w:eastAsia="Source Han Sans CN" w:cs="Source Han Sans CN"/>
          <w:b/>
          <w:i w:val="0"/>
          <w:color w:val="000000"/>
          <w:sz w:val="20"/>
          <w:u w:val="none"/>
        </w:rPr>
        <w:t>临近空间太阳能无人机储能管理</w:t>
      </w:r>
    </w:p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20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20"/>
          <w:u w:val="none"/>
        </w:rPr>
        <w:t>储能电池建模与状态估计。</w:t>
      </w:r>
    </w:p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20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20"/>
          <w:u w:val="none"/>
        </w:rPr>
        <w:t>健康感知的电池充放电策略优化。</w:t>
      </w:r>
    </w:p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20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20"/>
          <w:u w:val="none"/>
        </w:rPr>
        <w:t>面向能源管理的深度强化学习。</w:t>
      </w:r>
    </w:p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20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20"/>
          <w:u w:val="none"/>
        </w:rPr>
        <w:t>基于专家示范的模仿学习。</w:t>
      </w:r>
    </w:p>
    <w:p>
      <w:pPr>
        <w:pStyle w:val="Heading1"/>
        <w:keepNext/>
        <w:keepLines w:val="0"/>
        <w:spacing w:before="280" w:after="140" w:lineRule="exact" w:line="420"/>
        <w:ind w:left="0" w:firstLine="0"/>
        <w:jc w:val="left"/>
        <w:pBdr>
          <w:bottom w:val="single" w:sz="56" w:space="1" w:color="3F72AF"/>
        </w:pBdr>
      </w:pPr>
      <w:r>
        <w:rPr>
          <w:rFonts w:ascii="Source Han Sans CN" w:hAnsi="Source Han Sans CN" w:eastAsia="Source Han Sans CN" w:cs="Source Han Sans CN"/>
          <w:b/>
          <w:i w:val="0"/>
          <w:color w:val="112D4E"/>
          <w:sz w:val="28"/>
          <w:u w:val="none"/>
        </w:rPr>
        <w:t>教育经历与荣誉</w:t>
      </w:r>
    </w:p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</w:trPr>
        <w:tc>
          <w:tcPr>
            <w:tcW w:type="dxa" w:w="84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00"/>
              <w:ind w:left="0" w:firstLine="0"/>
              <w:jc w:val="left"/>
            </w:pPr>
            <w:r>
              <w:rPr>
                <w:rFonts w:ascii="Source Han Sans CN" w:hAnsi="Source Han Sans CN" w:eastAsia="Source Han Sans CN" w:cs="Source Han Sans CN"/>
                <w:b/>
                <w:i w:val="0"/>
                <w:color w:val="000000"/>
                <w:sz w:val="20"/>
                <w:u w:val="none"/>
              </w:rPr>
              <w:t>天津大学 电气自动化与信息工程学院</w:t>
            </w:r>
          </w:p>
        </w:tc>
        <w:tc>
          <w:tcPr>
            <w:tcW w:type="dxa" w:w="23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00"/>
              <w:ind w:left="0" w:firstLine="0"/>
              <w:jc w:val="righ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9"/>
                <w:u w:val="none"/>
              </w:rPr>
              <w:t>2021.08 - 至今</w:t>
            </w:r>
          </w:p>
        </w:tc>
      </w:tr>
      <w:tr>
        <w:trPr>
          <w:cantSplit/>
        </w:trPr>
        <w:tc>
          <w:tcPr>
            <w:tcW w:type="dxa" w:w="84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00"/>
              <w:ind w:left="0" w:firstLine="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/>
                <w:color w:val="000000"/>
                <w:sz w:val="19"/>
                <w:u w:val="none"/>
              </w:rPr>
              <w:t>控制科学与工程专业博士研究生（硕博连读）</w:t>
            </w:r>
          </w:p>
        </w:tc>
        <w:tc>
          <w:tcPr>
            <w:tcW w:type="dxa" w:w="23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00"/>
              <w:ind w:left="0" w:firstLine="0"/>
              <w:jc w:val="right"/>
            </w:pPr>
            <w:r>
              <w:rPr>
                <w:rFonts w:ascii="Source Han Sans CN" w:hAnsi="Source Han Sans CN" w:eastAsia="Source Han Sans CN" w:cs="Source Han Sans CN"/>
                <w:b w:val="0"/>
                <w:i/>
                <w:color w:val="000000"/>
                <w:sz w:val="19"/>
                <w:u w:val="none"/>
              </w:rPr>
              <w:t>天津</w:t>
            </w:r>
          </w:p>
        </w:tc>
      </w:tr>
    </w:tbl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导师：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single"/>
        </w:rPr>
        <w:t>左志强教授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>，天津市智能无人集群技术与系统重点实验室主任</w:t>
      </w:r>
    </w:p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学生工作：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>班长；中国自动化学会天津大学学生分会执行委员会委员</w:t>
      </w:r>
    </w:p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荣誉奖励：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>三好学生；中国自动化学会博士生学术论坛优秀论文奖；一等奖学金</w:t>
      </w:r>
    </w:p>
    <w:p>
      <w:pPr>
        <w:keepNext w:val="0"/>
        <w:keepLines w:val="0"/>
        <w:spacing w:before="0" w:after="0" w:lineRule="exact" w:line="60"/>
        <w:ind w:left="0" w:firstLine="0"/>
        <w:jc w:val="left"/>
      </w:pPr>
    </w:p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</w:trPr>
        <w:tc>
          <w:tcPr>
            <w:tcW w:type="dxa" w:w="84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00"/>
              <w:ind w:left="0" w:firstLine="0"/>
              <w:jc w:val="left"/>
            </w:pPr>
            <w:r>
              <w:rPr>
                <w:rFonts w:ascii="Source Han Sans CN" w:hAnsi="Source Han Sans CN" w:eastAsia="Source Han Sans CN" w:cs="Source Han Sans CN"/>
                <w:b/>
                <w:i w:val="0"/>
                <w:color w:val="000000"/>
                <w:sz w:val="20"/>
                <w:u w:val="none"/>
              </w:rPr>
              <w:t>燕山大学 车辆与能源学院</w:t>
            </w:r>
          </w:p>
        </w:tc>
        <w:tc>
          <w:tcPr>
            <w:tcW w:type="dxa" w:w="23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00"/>
              <w:ind w:left="0" w:firstLine="0"/>
              <w:jc w:val="righ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9"/>
                <w:u w:val="none"/>
              </w:rPr>
              <w:t>2017.08 - 2021.06</w:t>
            </w:r>
          </w:p>
        </w:tc>
      </w:tr>
      <w:tr>
        <w:trPr>
          <w:cantSplit/>
        </w:trPr>
        <w:tc>
          <w:tcPr>
            <w:tcW w:type="dxa" w:w="84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00"/>
              <w:ind w:left="0" w:firstLine="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/>
                <w:color w:val="000000"/>
                <w:sz w:val="19"/>
                <w:u w:val="none"/>
              </w:rPr>
              <w:t>车辆工程专业工学学士（卓越工程师培养计划）</w:t>
            </w:r>
          </w:p>
        </w:tc>
        <w:tc>
          <w:tcPr>
            <w:tcW w:type="dxa" w:w="23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00"/>
              <w:ind w:left="0" w:firstLine="0"/>
              <w:jc w:val="right"/>
            </w:pPr>
            <w:r>
              <w:rPr>
                <w:rFonts w:ascii="Source Han Sans CN" w:hAnsi="Source Han Sans CN" w:eastAsia="Source Han Sans CN" w:cs="Source Han Sans CN"/>
                <w:b w:val="0"/>
                <w:i/>
                <w:color w:val="000000"/>
                <w:sz w:val="19"/>
                <w:u w:val="none"/>
              </w:rPr>
              <w:t>河北</w:t>
            </w:r>
          </w:p>
        </w:tc>
      </w:tr>
    </w:tbl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成绩：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>GPA 3.6/4.0，综合测评排名 1/59</w:t>
      </w:r>
    </w:p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学生工作：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>班长；学生会主席；燕翔车队队长</w:t>
      </w:r>
    </w:p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荣誉奖励：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>国家奖学金；国家励志奖学金；省级三好学生；优秀毕业生；一等奖学金</w:t>
      </w:r>
    </w:p>
    <w:p>
      <w:pPr>
        <w:keepNext w:val="0"/>
        <w:keepLines/>
        <w:spacing w:before="0" w:after="0" w:lineRule="exact" w:line="34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>获推荐免试攻读硕士研究生资格</w:t>
      </w:r>
    </w:p>
    <w:p>
      <w:pPr>
        <w:pStyle w:val="Heading1"/>
        <w:keepNext/>
        <w:keepLines w:val="0"/>
        <w:spacing w:before="240" w:after="80" w:lineRule="exact" w:line="420"/>
        <w:ind w:left="0" w:firstLine="0"/>
        <w:jc w:val="left"/>
        <w:pBdr>
          <w:bottom w:val="single" w:sz="56" w:space="1" w:color="3F72AF"/>
        </w:pBdr>
      </w:pPr>
      <w:r>
        <w:rPr>
          <w:rFonts w:ascii="Source Han Sans CN" w:hAnsi="Source Han Sans CN" w:eastAsia="Source Han Sans CN" w:cs="Source Han Sans CN"/>
          <w:b/>
          <w:i w:val="0"/>
          <w:color w:val="112D4E"/>
          <w:sz w:val="28"/>
          <w:u w:val="none"/>
        </w:rPr>
        <w:t>论文成果</w:t>
      </w:r>
    </w:p>
    <w:p>
      <w:pPr>
        <w:keepNext w:val="0"/>
        <w:keepLines/>
        <w:spacing w:before="0" w:after="0" w:lineRule="exact" w:line="320"/>
        <w:ind w:left="280" w:hanging="28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[1] 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single"/>
        </w:rPr>
        <w:t>Yunhao Du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, Zhicheng Zhang, Zhiqiang Zuo, Yijing Wang,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Lithium Battery Charging Optimization via Multi-Stage Combined Charging Strategy in Solar-Powered Vehicles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19"/>
          <w:u w:val="none"/>
        </w:rPr>
        <w:t>, Journal of Energy Storage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>, 83: 110716, 2024.</w:t>
      </w:r>
    </w:p>
    <w:p>
      <w:pPr>
        <w:keepNext w:val="0"/>
        <w:keepLines/>
        <w:spacing w:before="0" w:after="0" w:lineRule="exact" w:line="32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8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18"/>
          <w:u w:val="none"/>
        </w:rPr>
        <w:t>关键词：</w:t>
      </w:r>
      <w:r>
        <w:rPr>
          <w:rFonts w:ascii="Source Han Sans CN" w:hAnsi="Source Han Sans CN" w:eastAsia="Source Han Sans CN" w:cs="Source Han Sans CN"/>
          <w:b w:val="0"/>
          <w:i/>
          <w:color w:val="666666"/>
          <w:sz w:val="18"/>
          <w:u w:val="none"/>
        </w:rPr>
        <w:t>多目标充电优化；电池耦合模型；所构建的充电焦虑指标。</w:t>
      </w:r>
    </w:p>
    <w:p>
      <w:pPr>
        <w:keepNext w:val="0"/>
        <w:keepLines/>
        <w:spacing w:before="0" w:after="0" w:lineRule="exact" w:line="320"/>
        <w:ind w:left="280" w:hanging="28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[2] 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single"/>
        </w:rPr>
        <w:t>Yunhao Du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, Zhiqiang Zuo, Zhicheng Zhang, Peng Li, Yijing Wang, Rui Zhao, Zheng Li,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Task-Oriented Energy Storage Management for Solar-Powered UAVs: An Enhanced Multi-Objective Deep Reinforcement Learning Approach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19"/>
          <w:u w:val="none"/>
        </w:rPr>
        <w:t>, 64th IEEE Conference on Decision and Control (CDC)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, 2025.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[已录用]</w:t>
      </w:r>
    </w:p>
    <w:p>
      <w:pPr>
        <w:keepNext w:val="0"/>
        <w:keepLines/>
        <w:spacing w:before="0" w:after="0" w:lineRule="exact" w:line="32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8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18"/>
          <w:u w:val="none"/>
        </w:rPr>
        <w:t>关键词：</w:t>
      </w:r>
      <w:r>
        <w:rPr>
          <w:rFonts w:ascii="Source Han Sans CN" w:hAnsi="Source Han Sans CN" w:eastAsia="Source Han Sans CN" w:cs="Source Han Sans CN"/>
          <w:b w:val="0"/>
          <w:i/>
          <w:color w:val="666666"/>
          <w:sz w:val="18"/>
          <w:u w:val="none"/>
        </w:rPr>
        <w:t>三维电池模型；多目标能源管理；深度强化学习。</w:t>
      </w:r>
    </w:p>
    <w:p>
      <w:pPr>
        <w:keepNext w:val="0"/>
        <w:keepLines/>
        <w:spacing w:before="0" w:after="0" w:lineRule="exact" w:line="320"/>
        <w:ind w:left="280" w:hanging="28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[3] 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Zhiqiang Zuo, 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single"/>
        </w:rPr>
        <w:t>Yunhao Du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, Yijing Wang, Zhicheng Zhang, Peng Li,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State-of-Charge Balancing Control for Battery Energy Storage Systems of Near-Space Vehicles with an Electric-Thermal-Aging Coupling Model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19"/>
          <w:u w:val="none"/>
        </w:rPr>
        <w:t>, 2023 42nd Chinese Control Conference (CCC)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>, 2023: 1853-1858.</w:t>
      </w:r>
    </w:p>
    <w:p>
      <w:pPr>
        <w:keepNext w:val="0"/>
        <w:keepLines/>
        <w:spacing w:before="0" w:after="0" w:lineRule="exact" w:line="32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8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18"/>
          <w:u w:val="none"/>
        </w:rPr>
        <w:t>关键词：</w:t>
      </w:r>
      <w:r>
        <w:rPr>
          <w:rFonts w:ascii="Source Han Sans CN" w:hAnsi="Source Han Sans CN" w:eastAsia="Source Han Sans CN" w:cs="Source Han Sans CN"/>
          <w:b w:val="0"/>
          <w:i/>
          <w:color w:val="666666"/>
          <w:sz w:val="18"/>
          <w:u w:val="none"/>
        </w:rPr>
        <w:t>荷电状态均衡；电池耦合模型；滚动时域控制。</w:t>
      </w:r>
    </w:p>
    <w:p>
      <w:pPr>
        <w:keepNext w:val="0"/>
        <w:keepLines/>
        <w:spacing w:before="0" w:after="0" w:lineRule="exact" w:line="320"/>
        <w:ind w:left="280" w:hanging="28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[4] 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single"/>
        </w:rPr>
        <w:t>Yunhao Du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, Zhiqiang Zuo, Zhicheng Zhang, Peng Li,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Health- and Dynamics-Constrained Energy Management for Solar-Powered UAVs based on Enhanced TD3 from Demonstrations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9"/>
          <w:u w:val="none"/>
        </w:rPr>
        <w:t xml:space="preserve">.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9"/>
          <w:u w:val="none"/>
        </w:rPr>
        <w:t>[审稿中]</w:t>
      </w:r>
    </w:p>
    <w:p>
      <w:pPr>
        <w:keepNext w:val="0"/>
        <w:keepLines/>
        <w:spacing w:before="0" w:after="0" w:lineRule="exact" w:line="320"/>
        <w:ind w:left="220" w:hanging="20"/>
        <w:jc w:val="left"/>
      </w:pP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8"/>
          <w:u w:val="none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i/>
          <w:color w:val="000000"/>
          <w:sz w:val="18"/>
          <w:u w:val="none"/>
        </w:rPr>
        <w:t>关键词：</w:t>
      </w:r>
      <w:r>
        <w:rPr>
          <w:rFonts w:ascii="Source Han Sans CN" w:hAnsi="Source Han Sans CN" w:eastAsia="Source Han Sans CN" w:cs="Source Han Sans CN"/>
          <w:b w:val="0"/>
          <w:i/>
          <w:color w:val="666666"/>
          <w:sz w:val="18"/>
          <w:u w:val="none"/>
        </w:rPr>
        <w:t>exponential-dilated multi-step TD3；基于示范的强化学习；高度势能利用。</w:t>
      </w:r>
    </w:p>
    <w:p>
      <w:r>
        <w:br w:type="page"/>
      </w:r>
    </w:p>
    <w:p>
      <w:pPr>
        <w:pStyle w:val="Heading1"/>
        <w:keepNext/>
        <w:keepLines w:val="0"/>
        <w:spacing w:before="0" w:after="100" w:lineRule="exact" w:line="420"/>
        <w:ind w:left="0" w:firstLine="0"/>
        <w:jc w:val="left"/>
        <w:pBdr>
          <w:bottom w:val="single" w:sz="56" w:space="1" w:color="3F72AF"/>
        </w:pBdr>
      </w:pPr>
      <w:r>
        <w:rPr>
          <w:rFonts w:ascii="Source Han Sans CN" w:hAnsi="Source Han Sans CN" w:eastAsia="Source Han Sans CN" w:cs="Source Han Sans CN"/>
          <w:b/>
          <w:i w:val="0"/>
          <w:color w:val="112D4E"/>
          <w:sz w:val="28"/>
          <w:u w:val="none"/>
        </w:rPr>
        <w:t>项目经历</w:t>
      </w:r>
    </w:p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</w:trPr>
        <w:tc>
          <w:tcPr>
            <w:tcW w:type="dxa" w:w="84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keepNext/>
              <w:keepLines w:val="0"/>
              <w:spacing w:before="0" w:after="0" w:lineRule="exact" w:line="340"/>
              <w:ind w:left="0" w:firstLine="0"/>
              <w:jc w:val="left"/>
            </w:pPr>
            <w:r>
              <w:rPr>
                <w:rFonts w:ascii="Source Han Sans CN" w:hAnsi="Source Han Sans CN" w:eastAsia="Source Han Sans CN" w:cs="Source Han Sans CN"/>
                <w:b/>
                <w:i w:val="0"/>
                <w:color w:val="112D4E"/>
                <w:sz w:val="22"/>
                <w:u w:val="none"/>
              </w:rPr>
              <w:t>电动方程式赛车设计、制造与控制</w:t>
            </w:r>
          </w:p>
        </w:tc>
        <w:tc>
          <w:tcPr>
            <w:tcW w:type="dxa" w:w="23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40"/>
              <w:ind w:left="0" w:firstLine="0"/>
              <w:jc w:val="righ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9"/>
                <w:u w:val="none"/>
              </w:rPr>
              <w:t>2017.12 - 2020.11</w:t>
            </w:r>
          </w:p>
        </w:tc>
      </w:tr>
    </w:tbl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  <w:cantSplit/>
          <w:trHeight w:val="2640" w:hRule="atLeast"/>
        </w:trPr>
        <w:tc>
          <w:tcPr>
            <w:tcW w:type="dxa" w:w="344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keepLines w:val="0"/>
              <w:spacing w:before="0" w:after="0"/>
              <w:ind w:lef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84400" cy="1676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3_Im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167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0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中国大学生电动方程式大赛（FSEC），燕翔车队，</w:t>
            </w:r>
            <w:r>
              <w:rPr>
                <w:rFonts w:ascii="Source Han Sans CN" w:hAnsi="Source Han Sans CN" w:eastAsia="Source Han Sans CN" w:cs="Source Han Sans CN"/>
                <w:b/>
                <w:i w:val="0"/>
                <w:color w:val="000000"/>
                <w:sz w:val="18"/>
                <w:u w:val="none"/>
              </w:rPr>
              <w:t>队长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2018、2019 年 FSEC 全国三等奖；2019 年“挑战杯”大学生课外学术科技作品竞赛全国三等奖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带领学生团队完成电动方程式赛车设计、制造与参赛。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负责整车电气系统架构与设计，包括传感器与控制线束、电池包及高压动力部件。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开发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3F72AF"/>
                <w:sz w:val="18"/>
                <w:u w:val="none"/>
              </w:rPr>
              <w:t>电池管理策略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和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3F72AF"/>
                <w:sz w:val="18"/>
                <w:u w:val="none"/>
              </w:rPr>
              <w:t>牵引力控制算法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，分析遥测数据，为机械调校与性能验证提供支持。</w:t>
            </w:r>
          </w:p>
        </w:tc>
      </w:tr>
    </w:tbl>
    <w:p>
      <w:pPr>
        <w:keepNext w:val="0"/>
        <w:keepLines w:val="0"/>
        <w:spacing w:before="0" w:after="0" w:lineRule="exact" w:line="60"/>
        <w:ind w:left="0" w:firstLine="0"/>
        <w:jc w:val="left"/>
      </w:pPr>
    </w:p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</w:trPr>
        <w:tc>
          <w:tcPr>
            <w:tcW w:type="dxa" w:w="84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keepNext/>
              <w:keepLines w:val="0"/>
              <w:spacing w:before="0" w:after="0" w:lineRule="exact" w:line="340"/>
              <w:ind w:left="0" w:firstLine="0"/>
              <w:jc w:val="left"/>
            </w:pPr>
            <w:r>
              <w:rPr>
                <w:rFonts w:ascii="Source Han Sans CN" w:hAnsi="Source Han Sans CN" w:eastAsia="Source Han Sans CN" w:cs="Source Han Sans CN"/>
                <w:b/>
                <w:i w:val="0"/>
                <w:color w:val="112D4E"/>
                <w:sz w:val="22"/>
                <w:u w:val="none"/>
              </w:rPr>
              <w:t>分布式自主供能系统协同调度</w:t>
            </w:r>
          </w:p>
        </w:tc>
        <w:tc>
          <w:tcPr>
            <w:tcW w:type="dxa" w:w="23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40"/>
              <w:ind w:left="0" w:firstLine="0"/>
              <w:jc w:val="righ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9"/>
                <w:u w:val="none"/>
              </w:rPr>
              <w:t>2020.11 - 2023.04</w:t>
            </w:r>
          </w:p>
        </w:tc>
      </w:tr>
    </w:tbl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  <w:cantSplit/>
          <w:trHeight w:val="2640" w:hRule="atLeast"/>
        </w:trPr>
        <w:tc>
          <w:tcPr>
            <w:tcW w:type="dxa" w:w="344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keepLines w:val="0"/>
              <w:spacing w:before="0" w:after="0"/>
              <w:ind w:lef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84400" cy="1676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2_Im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167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0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“十三五”装备预研项目，</w:t>
            </w:r>
            <w:r>
              <w:rPr>
                <w:rFonts w:ascii="Source Han Sans CN" w:hAnsi="Source Han Sans CN" w:eastAsia="Source Han Sans CN" w:cs="Source Han Sans CN"/>
                <w:b/>
                <w:i w:val="0"/>
                <w:color w:val="000000"/>
                <w:sz w:val="18"/>
                <w:u w:val="none"/>
              </w:rPr>
              <w:t>项目骨干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设计系统通信架构，包括 CAN、NI-VISA、TCP/IP 协议及网络拓扑。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基于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3F72AF"/>
                <w:sz w:val="18"/>
                <w:u w:val="none"/>
              </w:rPr>
              <w:t>PyQt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 构建 MVC 架构上位机，用于系统监控、数据采集、设备控制及自定义算法部署。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开发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3F72AF"/>
                <w:sz w:val="18"/>
                <w:u w:val="none"/>
              </w:rPr>
              <w:t>自适应能量调度算法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，按节点能量状态确定优先级，满足实时需求并均衡负载；快速隔离故障节点，保障系统稳定性与可用性。</w:t>
            </w:r>
          </w:p>
        </w:tc>
      </w:tr>
    </w:tbl>
    <w:p>
      <w:pPr>
        <w:keepNext w:val="0"/>
        <w:keepLines w:val="0"/>
        <w:spacing w:before="0" w:after="0" w:lineRule="exact" w:line="60"/>
        <w:ind w:left="0" w:firstLine="0"/>
        <w:jc w:val="left"/>
      </w:pPr>
    </w:p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</w:trPr>
        <w:tc>
          <w:tcPr>
            <w:tcW w:type="dxa" w:w="84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keepNext/>
              <w:keepLines w:val="0"/>
              <w:spacing w:before="0" w:after="0" w:lineRule="exact" w:line="340"/>
              <w:ind w:left="0" w:firstLine="0"/>
              <w:jc w:val="left"/>
            </w:pPr>
            <w:r>
              <w:rPr>
                <w:rFonts w:ascii="Source Han Sans CN" w:hAnsi="Source Han Sans CN" w:eastAsia="Source Han Sans CN" w:cs="Source Han Sans CN"/>
                <w:b/>
                <w:i w:val="0"/>
                <w:color w:val="112D4E"/>
                <w:sz w:val="22"/>
                <w:u w:val="none"/>
              </w:rPr>
              <w:t>临近空间无人机储能调度与协同控制</w:t>
            </w:r>
          </w:p>
        </w:tc>
        <w:tc>
          <w:tcPr>
            <w:tcW w:type="dxa" w:w="23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40"/>
              <w:ind w:left="0" w:firstLine="0"/>
              <w:jc w:val="righ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9"/>
                <w:u w:val="none"/>
              </w:rPr>
              <w:t>2021.08 - 2024.12</w:t>
            </w:r>
          </w:p>
        </w:tc>
      </w:tr>
    </w:tbl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  <w:cantSplit/>
          <w:trHeight w:val="2640" w:hRule="atLeast"/>
        </w:trPr>
        <w:tc>
          <w:tcPr>
            <w:tcW w:type="dxa" w:w="344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keepLines w:val="0"/>
              <w:spacing w:before="0" w:after="0"/>
              <w:ind w:lef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84400" cy="1676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1_Im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167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0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国家自然科学基金重点项目，</w:t>
            </w:r>
            <w:r>
              <w:rPr>
                <w:rFonts w:ascii="Source Han Sans CN" w:hAnsi="Source Han Sans CN" w:eastAsia="Source Han Sans CN" w:cs="Source Han Sans CN"/>
                <w:b/>
                <w:i w:val="0"/>
                <w:color w:val="000000"/>
                <w:sz w:val="18"/>
                <w:u w:val="none"/>
              </w:rPr>
              <w:t>项目骨干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搭建实验室电池测试平台，完成不同工况下的 HPPC 和循环充放电测试，建立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3F72AF"/>
                <w:sz w:val="18"/>
                <w:u w:val="none"/>
              </w:rPr>
              <w:t>三维耦合电池模型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。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提出光伏约束下的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3F72AF"/>
                <w:sz w:val="18"/>
                <w:u w:val="none"/>
              </w:rPr>
              <w:t>组合充电策略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，在提高充电效率的同时降低电池老化速率。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开发健康感知的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3F72AF"/>
                <w:sz w:val="18"/>
                <w:u w:val="none"/>
              </w:rPr>
              <w:t>多节点能量均衡算法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，兼顾荷电状态均衡速率与电池老化速率。</w:t>
            </w:r>
          </w:p>
        </w:tc>
      </w:tr>
    </w:tbl>
    <w:p>
      <w:pPr>
        <w:keepNext w:val="0"/>
        <w:keepLines w:val="0"/>
        <w:spacing w:before="0" w:after="0" w:lineRule="exact" w:line="60"/>
        <w:ind w:left="0" w:firstLine="0"/>
        <w:jc w:val="left"/>
      </w:pPr>
    </w:p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</w:trPr>
        <w:tc>
          <w:tcPr>
            <w:tcW w:type="dxa" w:w="84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eading2"/>
              <w:keepNext/>
              <w:keepLines w:val="0"/>
              <w:spacing w:before="0" w:after="0" w:lineRule="exact" w:line="340"/>
              <w:ind w:left="0" w:firstLine="0"/>
              <w:jc w:val="left"/>
            </w:pPr>
            <w:r>
              <w:rPr>
                <w:rFonts w:ascii="Source Han Sans CN" w:hAnsi="Source Han Sans CN" w:eastAsia="Source Han Sans CN" w:cs="Source Han Sans CN"/>
                <w:b/>
                <w:i w:val="0"/>
                <w:color w:val="112D4E"/>
                <w:sz w:val="22"/>
                <w:u w:val="none"/>
              </w:rPr>
              <w:t>基于深度强化学习的能量流调度与硬件实现</w:t>
            </w:r>
          </w:p>
        </w:tc>
        <w:tc>
          <w:tcPr>
            <w:tcW w:type="dxa" w:w="23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keepLines w:val="0"/>
              <w:spacing w:before="0" w:after="0" w:lineRule="exact" w:line="340"/>
              <w:ind w:left="0" w:firstLine="0"/>
              <w:jc w:val="righ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9"/>
                <w:u w:val="none"/>
              </w:rPr>
              <w:t>2022.10 - 2025.03</w:t>
            </w:r>
          </w:p>
        </w:tc>
      </w:tr>
    </w:tbl>
    <w:tbl>
      <w:tblPr>
        <w:tblW w:type="dxa" w:w="107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3"/>
        <w:gridCol w:w="5373"/>
      </w:tblGrid>
      <w:tr>
        <w:trPr>
          <w:cantSplit/>
          <w:cantSplit/>
          <w:trHeight w:val="2640" w:hRule="atLeast"/>
        </w:trPr>
        <w:tc>
          <w:tcPr>
            <w:tcW w:type="dxa" w:w="344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keepLines w:val="0"/>
              <w:spacing w:before="0" w:after="0"/>
              <w:ind w:lef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84400" cy="1676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0_Im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167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0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国家部委科研项目，</w:t>
            </w:r>
            <w:r>
              <w:rPr>
                <w:rFonts w:ascii="Source Han Sans CN" w:hAnsi="Source Han Sans CN" w:eastAsia="Source Han Sans CN" w:cs="Source Han Sans CN"/>
                <w:b/>
                <w:i w:val="0"/>
                <w:color w:val="000000"/>
                <w:sz w:val="18"/>
                <w:u w:val="none"/>
              </w:rPr>
              <w:t>项目负责人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将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3F72AF"/>
                <w:sz w:val="18"/>
                <w:u w:val="none"/>
              </w:rPr>
              <w:t>临近空间无人机飞行环境仿真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集成至硬件平台，用于模拟太阳辐照度和推进负载。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基于 PyTorch 和 Stable-Baselines3，将深度强化学习算法部署于华为 Atlas 模块（性能与 NVIDIA Jetson Nano 相当），实现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3F72AF"/>
                <w:sz w:val="18"/>
                <w:u w:val="none"/>
              </w:rPr>
              <w:t>昼夜连续储能管理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。</w:t>
            </w:r>
          </w:p>
          <w:p>
            <w:pPr>
              <w:keepNext w:val="0"/>
              <w:keepLines/>
              <w:spacing w:before="0" w:after="0" w:lineRule="exact" w:line="316"/>
              <w:ind w:left="240" w:hanging="120"/>
              <w:jc w:val="left"/>
            </w:pP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 xml:space="preserve">• </w:t>
            </w:r>
            <w:r>
              <w:rPr>
                <w:rFonts w:ascii="Source Han Sans CN" w:hAnsi="Source Han Sans CN" w:eastAsia="Source Han Sans CN" w:cs="Source Han Sans CN"/>
                <w:b w:val="0"/>
                <w:i w:val="0"/>
                <w:color w:val="000000"/>
                <w:sz w:val="18"/>
                <w:u w:val="none"/>
              </w:rPr>
              <w:t>开展超过一个月的不间断仿真测试，验证算法可行性与鲁棒性。</w:t>
            </w:r>
          </w:p>
        </w:tc>
      </w:tr>
    </w:tbl>
    <w:p>
      <w:pPr>
        <w:keepNext w:val="0"/>
        <w:keepLines w:val="0"/>
        <w:spacing w:before="0" w:after="0" w:lineRule="exact" w:line="40"/>
        <w:ind w:left="0" w:firstLine="0"/>
        <w:jc w:val="left"/>
      </w:pPr>
    </w:p>
    <w:p>
      <w:pPr>
        <w:keepNext/>
        <w:keepLines w:val="0"/>
        <w:spacing w:before="60" w:after="80" w:lineRule="exact" w:line="320"/>
        <w:ind w:left="0" w:firstLine="0"/>
        <w:jc w:val="left"/>
      </w:pPr>
      <w:r>
        <w:rPr>
          <w:rFonts w:ascii="Source Han Sans CN" w:hAnsi="Source Han Sans CN" w:eastAsia="Source Han Sans CN" w:cs="Source Han Sans CN"/>
          <w:b/>
          <w:i w:val="0"/>
          <w:color w:val="000000"/>
          <w:sz w:val="22"/>
          <w:u w:val="none"/>
        </w:rPr>
        <w:t>参与多项企业项目及国家自然科学基金项目申请工作。</w:t>
      </w:r>
    </w:p>
    <w:p>
      <w:pPr>
        <w:pStyle w:val="Heading1"/>
        <w:keepNext/>
        <w:keepLines w:val="0"/>
        <w:spacing w:before="0" w:after="60" w:lineRule="exact" w:line="420"/>
        <w:ind w:left="0" w:firstLine="0"/>
        <w:jc w:val="left"/>
        <w:pBdr>
          <w:bottom w:val="single" w:sz="56" w:space="1" w:color="3F72AF"/>
        </w:pBdr>
      </w:pPr>
      <w:r>
        <w:rPr>
          <w:rFonts w:ascii="Source Han Sans CN" w:hAnsi="Source Han Sans CN" w:eastAsia="Source Han Sans CN" w:cs="Source Han Sans CN"/>
          <w:b/>
          <w:i w:val="0"/>
          <w:color w:val="112D4E"/>
          <w:sz w:val="28"/>
          <w:u w:val="none"/>
        </w:rPr>
        <w:t>技能与经历</w:t>
      </w:r>
    </w:p>
    <w:p>
      <w:pPr>
        <w:keepNext w:val="0"/>
        <w:keepLines/>
        <w:spacing w:before="0" w:after="0" w:lineRule="exact" w:line="340"/>
        <w:ind w:left="0" w:firstLine="0"/>
        <w:jc w:val="left"/>
      </w:pPr>
      <w:r>
        <w:rPr>
          <w:rFonts w:ascii="Source Han Sans CN" w:hAnsi="Source Han Sans CN" w:eastAsia="Source Han Sans CN" w:cs="Source Han Sans CN"/>
          <w:b/>
          <w:i w:val="0"/>
          <w:color w:val="000000"/>
          <w:sz w:val="18"/>
          <w:u w:val="none"/>
        </w:rPr>
        <w:t>英语：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8"/>
          <w:u w:val="none"/>
        </w:rPr>
        <w:t xml:space="preserve">CET-4 475 | CET-6 530   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8"/>
          <w:u w:val="none"/>
        </w:rPr>
        <w:t>编程与软件：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8"/>
          <w:u w:val="none"/>
        </w:rPr>
        <w:t>NCRE 二级 | Python | MATLAB | Simscape | Qt | PyTorch</w:t>
      </w:r>
    </w:p>
    <w:p>
      <w:pPr>
        <w:keepNext w:val="0"/>
        <w:keepLines/>
        <w:spacing w:before="0" w:after="0" w:lineRule="exact" w:line="340"/>
        <w:ind w:left="0" w:firstLine="0"/>
        <w:jc w:val="left"/>
      </w:pPr>
      <w:r>
        <w:rPr>
          <w:rFonts w:ascii="Source Han Sans CN" w:hAnsi="Source Han Sans CN" w:eastAsia="Source Han Sans CN" w:cs="Source Han Sans CN"/>
          <w:b/>
          <w:i w:val="0"/>
          <w:color w:val="000000"/>
          <w:sz w:val="18"/>
          <w:u w:val="none"/>
        </w:rPr>
        <w:t>兴趣爱好：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8"/>
          <w:u w:val="none"/>
        </w:rPr>
        <w:t xml:space="preserve">运动 | 摄影 | HomeLab    </w:t>
      </w:r>
      <w:r>
        <w:rPr>
          <w:rFonts w:ascii="Source Han Sans CN" w:hAnsi="Source Han Sans CN" w:eastAsia="Source Han Sans CN" w:cs="Source Han Sans CN"/>
          <w:b/>
          <w:i w:val="0"/>
          <w:color w:val="000000"/>
          <w:sz w:val="18"/>
          <w:u w:val="none"/>
        </w:rPr>
        <w:t>硬件与平台：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8"/>
          <w:u w:val="none"/>
        </w:rPr>
        <w:t>STM32 | DSP | RapidECU | NVIDIA Jetson | ESXi Server</w:t>
      </w:r>
    </w:p>
    <w:p>
      <w:pPr>
        <w:keepNext w:val="0"/>
        <w:keepLines/>
        <w:spacing w:before="0" w:after="0" w:lineRule="exact" w:line="340"/>
        <w:ind w:left="0" w:firstLine="0"/>
        <w:jc w:val="left"/>
      </w:pPr>
      <w:r>
        <w:rPr>
          <w:rFonts w:ascii="Source Han Sans CN" w:hAnsi="Source Han Sans CN" w:eastAsia="Source Han Sans CN" w:cs="Source Han Sans CN"/>
          <w:b/>
          <w:i w:val="0"/>
          <w:color w:val="000000"/>
          <w:sz w:val="18"/>
          <w:u w:val="none"/>
        </w:rPr>
        <w:t>社会任职与实习：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8"/>
          <w:u w:val="none"/>
        </w:rPr>
        <w:t>中国自动化学会天津大学学生分会成员 | 山东省博士生协会副部长 | 中电十八所实习生</w:t>
      </w:r>
    </w:p>
    <w:p>
      <w:pPr>
        <w:keepNext w:val="0"/>
        <w:keepLines/>
        <w:spacing w:before="0" w:after="0" w:lineRule="exact" w:line="340"/>
        <w:ind w:left="0" w:firstLine="0"/>
        <w:jc w:val="left"/>
      </w:pPr>
      <w:r>
        <w:rPr>
          <w:rFonts w:ascii="Source Han Sans CN" w:hAnsi="Source Han Sans CN" w:eastAsia="Source Han Sans CN" w:cs="Source Han Sans CN"/>
          <w:b/>
          <w:i w:val="0"/>
          <w:color w:val="000000"/>
          <w:sz w:val="18"/>
          <w:u w:val="none"/>
        </w:rPr>
        <w:t>组织运营经历：</w:t>
      </w:r>
      <w:r>
        <w:rPr>
          <w:rFonts w:ascii="Source Han Sans CN" w:hAnsi="Source Han Sans CN" w:eastAsia="Source Han Sans CN" w:cs="Source Han Sans CN"/>
          <w:b w:val="0"/>
          <w:i w:val="0"/>
          <w:color w:val="000000"/>
          <w:sz w:val="18"/>
          <w:u w:val="none"/>
        </w:rPr>
        <w:t>组织多场大型学术活动 | 负责团队宣传及社交媒体账号运营</w:t>
      </w:r>
    </w:p>
    <w:sectPr w:rsidR="00FC693F" w:rsidRPr="0006063C" w:rsidSect="00034616">
      <w:pgSz w:w="11906" w:h="16838"/>
      <w:pgMar w:top="560" w:right="580" w:bottom="500" w:left="5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Source Han Sans CN" w:hAnsi="Source Han Sans CN" w:eastAsia="Source Han Sans C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112D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112D4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Source Han Sans CN" w:hAnsi="Source Han Sans CN" w:eastAsia="Source Han Sans C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杜云浩中文简历</dc:title>
  <dc:subject>中文个人简历</dc:subject>
  <dc:creator>杜云浩</dc:creator>
  <cp:keywords>简历, 无人机, 储能管理, 强化学习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