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服部 （1976）</w:t>
      </w:r>
    </w:p>
    <w:p>
      <w:pPr>
        <w:pStyle w:val="BodyText"/>
      </w:pPr>
      <w:r>
        <w:t xml:space="preserve">平山 ほか （1966）</w:t>
      </w:r>
    </w:p>
    <w:p>
      <w:pPr>
        <w:pStyle w:val="BodyText"/>
      </w:pPr>
      <w:r>
        <w:t xml:space="preserve">金田一 （1932）</w:t>
      </w:r>
    </w:p>
    <w:p>
      <w:pPr>
        <w:pStyle w:val="BodyText"/>
      </w:pPr>
      <w:r>
        <w:t xml:space="preserve">金田一 （1955）</w:t>
      </w:r>
    </w:p>
    <w:p>
      <w:pPr>
        <w:pStyle w:val="BodyText"/>
      </w:pPr>
      <w:r>
        <w:t xml:space="preserve">梶 （1992）</w:t>
      </w:r>
    </w:p>
    <w:p>
      <w:pPr>
        <w:pStyle w:val="BodyText"/>
      </w:pPr>
      <w:r>
        <w:t xml:space="preserve">佐久間 （1941）</w:t>
      </w:r>
    </w:p>
    <w:p>
      <w:pPr>
        <w:pStyle w:val="BodyText"/>
      </w:pPr>
      <w:r>
        <w:t xml:space="preserve">柴谷 （1978）</w:t>
      </w:r>
    </w:p>
    <w:p>
      <w:pPr>
        <w:pStyle w:val="BodyText"/>
      </w:pPr>
      <w:r>
        <w:t xml:space="preserve">上野 （1997）</w:t>
      </w:r>
    </w:p>
    <w:p>
      <w:pPr>
        <w:pStyle w:val="BodyText"/>
      </w:pPr>
      <w:r>
        <w:t xml:space="preserve">林・南 （1978）</w:t>
      </w:r>
    </w:p>
    <w:p>
      <w:pPr>
        <w:pStyle w:val="BodyText"/>
      </w:pPr>
      <w:r>
        <w:t xml:space="preserve">橋本 （1966）</w:t>
      </w:r>
    </w:p>
    <w:p>
      <w:pPr>
        <w:pStyle w:val="BodyText"/>
      </w:pPr>
      <w:r>
        <w:t xml:space="preserve">Bach and Harms （1968）</w:t>
      </w:r>
    </w:p>
    <w:p>
      <w:pPr>
        <w:pStyle w:val="BodyText"/>
      </w:pPr>
      <w:r>
        <w:t xml:space="preserve">Bach （1968）</w:t>
      </w:r>
    </w:p>
    <w:p>
      <w:pPr>
        <w:pStyle w:val="BodyText"/>
      </w:pPr>
      <w:r>
        <w:t xml:space="preserve">Bloomfield （1933）</w:t>
      </w:r>
    </w:p>
    <w:p>
      <w:pPr>
        <w:pStyle w:val="BodyText"/>
      </w:pPr>
      <w:r>
        <w:t xml:space="preserve">Haegeman （1994）</w:t>
      </w:r>
    </w:p>
    <w:p>
      <w:pPr>
        <w:pStyle w:val="BodyText"/>
      </w:pPr>
      <w:r>
        <w:t xml:space="preserve">Jakobson et al. （1963）</w:t>
      </w:r>
    </w:p>
    <w:p>
      <w:pPr>
        <w:pStyle w:val="BodyText"/>
      </w:pPr>
      <w:r>
        <w:t xml:space="preserve">Kiparsky （1968）</w:t>
      </w:r>
      <w:r>
        <w:t xml:space="preserve">,</w:t>
      </w:r>
    </w:p>
    <w:p>
      <w:pPr>
        <w:pStyle w:val="BodyText"/>
      </w:pPr>
      <w:r>
        <w:t xml:space="preserve">Lakoff and Johnson （1980）</w:t>
      </w:r>
    </w:p>
    <w:p>
      <w:pPr>
        <w:pStyle w:val="BodyText"/>
      </w:pPr>
      <w:r>
        <w:t xml:space="preserve">Langacker （1993a）</w:t>
      </w:r>
    </w:p>
    <w:p>
      <w:pPr>
        <w:pStyle w:val="BodyText"/>
      </w:pPr>
      <w:r>
        <w:t xml:space="preserve">Langacker （1993b）</w:t>
      </w:r>
    </w:p>
    <w:p>
      <w:pPr>
        <w:pStyle w:val="BodyText"/>
      </w:pPr>
      <w:r>
        <w:t xml:space="preserve">Liberman （2007）</w:t>
      </w:r>
    </w:p>
    <w:p>
      <w:pPr>
        <w:pStyle w:val="BodyText"/>
      </w:pPr>
      <w:r>
        <w:t xml:space="preserve">Postal （1970）</w:t>
      </w:r>
    </w:p>
    <w:p>
      <w:pPr>
        <w:pStyle w:val="BodyText"/>
      </w:pPr>
      <w:r>
        <w:t xml:space="preserve">Sag （1976）</w:t>
      </w:r>
    </w:p>
    <w:p>
      <w:pPr>
        <w:pStyle w:val="BodyText"/>
      </w:pPr>
      <w:r>
        <w:t xml:space="preserve">Scalise et al. （2009）</w:t>
      </w:r>
    </w:p>
    <w:p>
      <w:pPr>
        <w:pStyle w:val="BodyText"/>
      </w:pPr>
      <w:r>
        <w:t xml:space="preserve">（服部1976）</w:t>
      </w:r>
    </w:p>
    <w:p>
      <w:pPr>
        <w:pStyle w:val="BodyText"/>
      </w:pPr>
      <w:r>
        <w:t xml:space="preserve">（平山 ほか1966）</w:t>
      </w:r>
    </w:p>
    <w:p>
      <w:pPr>
        <w:pStyle w:val="BodyText"/>
      </w:pPr>
      <w:r>
        <w:t xml:space="preserve">（金田一1932）</w:t>
      </w:r>
    </w:p>
    <w:p>
      <w:pPr>
        <w:pStyle w:val="BodyText"/>
      </w:pPr>
      <w:r>
        <w:t xml:space="preserve">（金田一1955）</w:t>
      </w:r>
    </w:p>
    <w:p>
      <w:pPr>
        <w:pStyle w:val="BodyText"/>
      </w:pPr>
      <w:r>
        <w:t xml:space="preserve">（梶1992）</w:t>
      </w:r>
    </w:p>
    <w:p>
      <w:pPr>
        <w:pStyle w:val="BodyText"/>
      </w:pPr>
      <w:r>
        <w:t xml:space="preserve">（佐久間1941）</w:t>
      </w:r>
    </w:p>
    <w:p>
      <w:pPr>
        <w:pStyle w:val="BodyText"/>
      </w:pPr>
      <w:r>
        <w:t xml:space="preserve">（柴谷1978）</w:t>
      </w:r>
    </w:p>
    <w:p>
      <w:pPr>
        <w:pStyle w:val="BodyText"/>
      </w:pPr>
      <w:r>
        <w:t xml:space="preserve">（上野1997）</w:t>
      </w:r>
    </w:p>
    <w:p>
      <w:pPr>
        <w:pStyle w:val="BodyText"/>
      </w:pPr>
      <w:r>
        <w:t xml:space="preserve">（林・南1978）</w:t>
      </w:r>
    </w:p>
    <w:p>
      <w:pPr>
        <w:pStyle w:val="BodyText"/>
      </w:pPr>
      <w:r>
        <w:t xml:space="preserve">（橋本1966）</w:t>
      </w:r>
    </w:p>
    <w:p>
      <w:pPr>
        <w:pStyle w:val="BodyText"/>
      </w:pPr>
      <w:r>
        <w:t xml:space="preserve">（Bach and Harms1968）</w:t>
      </w:r>
    </w:p>
    <w:p>
      <w:pPr>
        <w:pStyle w:val="BodyText"/>
      </w:pPr>
      <w:r>
        <w:t xml:space="preserve">（Bach1968）</w:t>
      </w:r>
    </w:p>
    <w:p>
      <w:pPr>
        <w:pStyle w:val="BodyText"/>
      </w:pPr>
      <w:r>
        <w:t xml:space="preserve">（Bloomfield1933）</w:t>
      </w:r>
    </w:p>
    <w:p>
      <w:pPr>
        <w:pStyle w:val="BodyText"/>
      </w:pPr>
      <w:r>
        <w:t xml:space="preserve">（Haegeman1994）</w:t>
      </w:r>
    </w:p>
    <w:p>
      <w:pPr>
        <w:pStyle w:val="BodyText"/>
      </w:pPr>
      <w:r>
        <w:t xml:space="preserve">（Jakobson et al.1963）</w:t>
      </w:r>
    </w:p>
    <w:p>
      <w:pPr>
        <w:pStyle w:val="BodyText"/>
      </w:pPr>
      <w:r>
        <w:t xml:space="preserve">（Kiparsky1968）</w:t>
      </w:r>
      <w:r>
        <w:t xml:space="preserve">,</w:t>
      </w:r>
    </w:p>
    <w:p>
      <w:pPr>
        <w:pStyle w:val="BodyText"/>
      </w:pPr>
      <w:r>
        <w:t xml:space="preserve">（Lakoff and Johnson1980）</w:t>
      </w:r>
    </w:p>
    <w:p>
      <w:pPr>
        <w:pStyle w:val="BodyText"/>
      </w:pPr>
      <w:r>
        <w:t xml:space="preserve">（Langacker1993a）</w:t>
      </w:r>
    </w:p>
    <w:p>
      <w:pPr>
        <w:pStyle w:val="BodyText"/>
      </w:pPr>
      <w:r>
        <w:t xml:space="preserve">（Langacker1993b）</w:t>
      </w:r>
    </w:p>
    <w:p>
      <w:pPr>
        <w:pStyle w:val="BodyText"/>
      </w:pPr>
      <w:r>
        <w:t xml:space="preserve">（Liberman2007）</w:t>
      </w:r>
    </w:p>
    <w:p>
      <w:pPr>
        <w:pStyle w:val="BodyText"/>
      </w:pPr>
      <w:r>
        <w:t xml:space="preserve">（Postal1970）</w:t>
      </w:r>
    </w:p>
    <w:p>
      <w:pPr>
        <w:pStyle w:val="BodyText"/>
      </w:pPr>
      <w:r>
        <w:t xml:space="preserve">（Sag1976）</w:t>
      </w:r>
    </w:p>
    <w:p>
      <w:pPr>
        <w:pStyle w:val="BodyText"/>
      </w:pPr>
      <w:r>
        <w:t xml:space="preserve">（Scalise et al.2009）</w:t>
      </w:r>
    </w:p>
    <w:p>
      <w:pPr>
        <w:pStyle w:val="BodyText"/>
      </w:pPr>
      <w:r>
        <w:t xml:space="preserve">（服部1976，金田一1955）</w:t>
      </w:r>
    </w:p>
    <w:bookmarkStart w:id="44" w:name="参考文献"/>
    <w:p>
      <w:pPr>
        <w:pStyle w:val="Heading1"/>
      </w:pPr>
      <w:r>
        <w:t xml:space="preserve">参考文献</w:t>
      </w:r>
    </w:p>
    <w:bookmarkStart w:id="43" w:name="refs"/>
    <w:bookmarkStart w:id="20" w:name="ref-Bach1968"/>
    <w:p>
      <w:pPr>
        <w:pStyle w:val="Bibliography"/>
      </w:pPr>
      <w:r>
        <w:t xml:space="preserve">Bach, Emmon W. (1968) Nouns and noun phrases. In Emmon W. Bach and Robert Thomas Harms (Eds.),</w:t>
      </w:r>
      <w:r>
        <w:t xml:space="preserve"> </w:t>
      </w:r>
      <w:r>
        <w:rPr>
          <w:iCs/>
          <w:i/>
          <w:iCs/>
          <w:i/>
        </w:rPr>
        <w:t xml:space="preserve">Universals in Linguistic Theory</w:t>
      </w:r>
      <w:r>
        <w:t xml:space="preserve"> </w:t>
      </w:r>
      <w:r>
        <w:t xml:space="preserve">(pp. 90-122) New York: Holt, Rinehart, and Winston.</w:t>
      </w:r>
    </w:p>
    <w:bookmarkEnd w:id="20"/>
    <w:bookmarkStart w:id="21" w:name="ref-Bach_Harms1968"/>
    <w:p>
      <w:pPr>
        <w:pStyle w:val="Bibliography"/>
      </w:pPr>
      <w:r>
        <w:t xml:space="preserve">Bach, Emmon W. and Robert Thomas Harms (eds.) (1968)</w:t>
      </w:r>
      <w:r>
        <w:t xml:space="preserve"> </w:t>
      </w:r>
      <w:r>
        <w:rPr>
          <w:iCs/>
          <w:i/>
        </w:rPr>
        <w:t xml:space="preserve">Universals in Linguistic Theory</w:t>
      </w:r>
      <w:r>
        <w:t xml:space="preserve">. New York: Holt, Rinehart, and Winston.</w:t>
      </w:r>
    </w:p>
    <w:bookmarkEnd w:id="21"/>
    <w:bookmarkStart w:id="22" w:name="ref-Bloomfield1968"/>
    <w:p>
      <w:pPr>
        <w:pStyle w:val="Bibliography"/>
      </w:pPr>
      <w:r>
        <w:t xml:space="preserve">Bloomfield, Leonard (1933)</w:t>
      </w:r>
      <w:r>
        <w:t xml:space="preserve"> </w:t>
      </w:r>
      <w:r>
        <w:rPr>
          <w:iCs/>
          <w:i/>
        </w:rPr>
        <w:t xml:space="preserve">Language</w:t>
      </w:r>
      <w:r>
        <w:t xml:space="preserve">. New York: Holt.</w:t>
      </w:r>
    </w:p>
    <w:bookmarkEnd w:id="22"/>
    <w:bookmarkStart w:id="23" w:name="ref-Haegeman1994"/>
    <w:p>
      <w:pPr>
        <w:pStyle w:val="Bibliography"/>
      </w:pPr>
      <w:r>
        <w:t xml:space="preserve">Haegeman, Liliane (1994)</w:t>
      </w:r>
      <w:r>
        <w:t xml:space="preserve"> </w:t>
      </w:r>
      <w:r>
        <w:rPr>
          <w:iCs/>
          <w:i/>
        </w:rPr>
        <w:t xml:space="preserve">Introduction to government and binding theory</w:t>
      </w:r>
      <w:r>
        <w:t xml:space="preserve">. (Second.) Oxford: Basil Blackwell.</w:t>
      </w:r>
    </w:p>
    <w:bookmarkEnd w:id="23"/>
    <w:bookmarkStart w:id="24" w:name="ref-Jakobson_etal1963"/>
    <w:p>
      <w:pPr>
        <w:pStyle w:val="Bibliography"/>
      </w:pPr>
      <w:r>
        <w:t xml:space="preserve">Jakobson, Roman, Gunnar Fant and Morris Halle (1963)</w:t>
      </w:r>
      <w:r>
        <w:t xml:space="preserve"> </w:t>
      </w:r>
      <w:r>
        <w:rPr>
          <w:iCs/>
          <w:i/>
        </w:rPr>
        <w:t xml:space="preserve">Preliminaries to speech analysis: The distinctive features and their correlates</w:t>
      </w:r>
      <w:r>
        <w:t xml:space="preserve">. Cambridge, MA: MIT Press.</w:t>
      </w:r>
    </w:p>
    <w:bookmarkEnd w:id="24"/>
    <w:bookmarkStart w:id="25" w:name="ref-Kiparsky1968"/>
    <w:p>
      <w:pPr>
        <w:pStyle w:val="Bibliography"/>
      </w:pPr>
      <w:r>
        <w:t xml:space="preserve">Kiparsky, Paul (1968) Linguistic universals and linguistic change. In Emmon W. Bach and Robert Thomas Harms (Eds.),</w:t>
      </w:r>
      <w:r>
        <w:t xml:space="preserve"> </w:t>
      </w:r>
      <w:r>
        <w:rPr>
          <w:iCs/>
          <w:i/>
          <w:iCs/>
          <w:i/>
        </w:rPr>
        <w:t xml:space="preserve">Universals in Linguistic Theory</w:t>
      </w:r>
      <w:r>
        <w:t xml:space="preserve"> </w:t>
      </w:r>
      <w:r>
        <w:t xml:space="preserve">(pp. 171-202) New York: Holt, Rinehart, and Winston.</w:t>
      </w:r>
    </w:p>
    <w:bookmarkEnd w:id="25"/>
    <w:bookmarkStart w:id="26" w:name="ref-Lakoff_Johnson1980"/>
    <w:p>
      <w:pPr>
        <w:pStyle w:val="Bibliography"/>
      </w:pPr>
      <w:r>
        <w:t xml:space="preserve">Lakoff, George and Mark Johnson (1980)</w:t>
      </w:r>
      <w:r>
        <w:t xml:space="preserve"> </w:t>
      </w:r>
      <w:r>
        <w:rPr>
          <w:iCs/>
          <w:i/>
        </w:rPr>
        <w:t xml:space="preserve">Metaphors we live by</w:t>
      </w:r>
      <w:r>
        <w:t xml:space="preserve">. Chicago: University of Chicago Press.</w:t>
      </w:r>
    </w:p>
    <w:bookmarkEnd w:id="26"/>
    <w:bookmarkStart w:id="27" w:name="ref-Langacker1993_grammatical_traces"/>
    <w:p>
      <w:pPr>
        <w:pStyle w:val="Bibliography"/>
      </w:pPr>
      <w:r>
        <w:t xml:space="preserve">Langacker, Ronald W. (1993a) Grammatical traces of some</w:t>
      </w:r>
      <w:r>
        <w:t xml:space="preserve"> </w:t>
      </w:r>
      <w:r>
        <w:t xml:space="preserve">‘invisible’</w:t>
      </w:r>
      <w:r>
        <w:t xml:space="preserve"> </w:t>
      </w:r>
      <w:r>
        <w:t xml:space="preserve">semantic constructs.</w:t>
      </w:r>
      <w:r>
        <w:t xml:space="preserve"> </w:t>
      </w:r>
      <w:r>
        <w:rPr>
          <w:iCs/>
          <w:i/>
          <w:iCs/>
          <w:i/>
        </w:rPr>
        <w:t xml:space="preserve">Language Sciences</w:t>
      </w:r>
      <w:r>
        <w:t xml:space="preserve">, 15, 323-355.</w:t>
      </w:r>
    </w:p>
    <w:bookmarkEnd w:id="27"/>
    <w:bookmarkStart w:id="28" w:name="ref-Langacker1993_reference_point"/>
    <w:p>
      <w:pPr>
        <w:pStyle w:val="Bibliography"/>
      </w:pPr>
      <w:r>
        <w:t xml:space="preserve">Langacker, Ronald W. (1993b) Reference-point constructions.</w:t>
      </w:r>
      <w:r>
        <w:t xml:space="preserve"> </w:t>
      </w:r>
      <w:r>
        <w:rPr>
          <w:iCs/>
          <w:i/>
          <w:iCs/>
          <w:i/>
        </w:rPr>
        <w:t xml:space="preserve">Cognitive Linguistics</w:t>
      </w:r>
      <w:r>
        <w:t xml:space="preserve">, 4, 1-38.</w:t>
      </w:r>
    </w:p>
    <w:bookmarkEnd w:id="28"/>
    <w:bookmarkStart w:id="29" w:name="ref-Liberman2007"/>
    <w:p>
      <w:pPr>
        <w:pStyle w:val="Bibliography"/>
      </w:pPr>
      <w:r>
        <w:t xml:space="preserve">Liberman, Mark (2007) The future of linguistics. In Linguistic Society of America (Ed.),</w:t>
      </w:r>
      <w:r>
        <w:t xml:space="preserve"> </w:t>
      </w:r>
      <w:r>
        <w:rPr>
          <w:iCs/>
          <w:i/>
          <w:iCs/>
          <w:i/>
        </w:rPr>
        <w:t xml:space="preserve">Invited plenary address at the 81st Annual Meeting of the Linguistic Society of America</w:t>
      </w:r>
      <w:r>
        <w:t xml:space="preserve">. Hilton Anaheim, 6 January 2007.</w:t>
      </w:r>
    </w:p>
    <w:bookmarkEnd w:id="29"/>
    <w:bookmarkStart w:id="30" w:name="ref-Postal1970"/>
    <w:p>
      <w:pPr>
        <w:pStyle w:val="Bibliography"/>
      </w:pPr>
      <w:r>
        <w:t xml:space="preserve">Postal, Paul (1970) On the surface verb</w:t>
      </w:r>
      <w:r>
        <w:t xml:space="preserve"> </w:t>
      </w:r>
      <w:r>
        <w:t xml:space="preserve">‘remind’</w:t>
      </w:r>
      <w:r>
        <w:t xml:space="preserve">.</w:t>
      </w:r>
      <w:r>
        <w:t xml:space="preserve"> </w:t>
      </w:r>
      <w:r>
        <w:rPr>
          <w:iCs/>
          <w:i/>
          <w:iCs/>
          <w:i/>
        </w:rPr>
        <w:t xml:space="preserve">Linguistic Inquiry</w:t>
      </w:r>
      <w:r>
        <w:t xml:space="preserve">, 1, 37-120.</w:t>
      </w:r>
    </w:p>
    <w:bookmarkEnd w:id="30"/>
    <w:bookmarkStart w:id="31" w:name="ref-Sag1976"/>
    <w:p>
      <w:pPr>
        <w:pStyle w:val="Bibliography"/>
      </w:pPr>
      <w:r>
        <w:t xml:space="preserve">Sag, Ivan (1976)</w:t>
      </w:r>
      <w:r>
        <w:t xml:space="preserve"> </w:t>
      </w:r>
      <w:r>
        <w:rPr>
          <w:iCs/>
          <w:i/>
        </w:rPr>
        <w:t xml:space="preserve">Deletion and logical form</w:t>
      </w:r>
      <w:r>
        <w:t xml:space="preserve">. MIT.</w:t>
      </w:r>
    </w:p>
    <w:bookmarkEnd w:id="31"/>
    <w:bookmarkStart w:id="32" w:name="ref-Scalise_etal2009"/>
    <w:p>
      <w:pPr>
        <w:pStyle w:val="Bibliography"/>
      </w:pPr>
      <w:r>
        <w:t xml:space="preserve">Scalise, Sergio, Antonio Fábregas and Francesca Forza (2009) Exocentricity in compounding.</w:t>
      </w:r>
      <w:r>
        <w:t xml:space="preserve"> </w:t>
      </w:r>
      <w:r>
        <w:rPr>
          <w:iCs/>
          <w:i/>
          <w:iCs/>
          <w:i/>
        </w:rPr>
        <w:t xml:space="preserve">Geongo Kenkyu</w:t>
      </w:r>
      <w:r>
        <w:t xml:space="preserve">, 135, 49-84.</w:t>
      </w:r>
    </w:p>
    <w:bookmarkEnd w:id="32"/>
    <w:bookmarkStart w:id="33" w:name="ref-上野1997"/>
    <w:p>
      <w:pPr>
        <w:pStyle w:val="Bibliography"/>
      </w:pPr>
      <w:r>
        <w:t xml:space="preserve">上野善道（1997）「複合名詞から見た日本語諸方言のアクセント」国広哲弥・廣瀬肇・河野守夫（編）『アクセント・イントネーション・リズムとポーズ』231-270. 東京: 三省堂.</w:t>
      </w:r>
    </w:p>
    <w:bookmarkEnd w:id="33"/>
    <w:bookmarkStart w:id="34" w:name="ref-佐久間1941"/>
    <w:p>
      <w:pPr>
        <w:pStyle w:val="Bibliography"/>
      </w:pPr>
      <w:r>
        <w:t xml:space="preserve">佐久間鼎（1941）「構文と文脈」『言語研究』9: 1-16.</w:t>
      </w:r>
    </w:p>
    <w:bookmarkEnd w:id="34"/>
    <w:bookmarkStart w:id="35" w:name="ref-平山他1966"/>
    <w:p>
      <w:pPr>
        <w:pStyle w:val="Bibliography"/>
      </w:pPr>
      <w:r>
        <w:t xml:space="preserve">平山輝男・大島一郎・中本正智（1966）『琉球方言の総合的研究』東京: 明治書院.</w:t>
      </w:r>
    </w:p>
    <w:bookmarkEnd w:id="35"/>
    <w:bookmarkStart w:id="36" w:name="ref-服部1976"/>
    <w:p>
      <w:pPr>
        <w:pStyle w:val="Bibliography"/>
      </w:pPr>
      <w:r>
        <w:t xml:space="preserve">服部四郎（1976）「上代日本語の母音体系と母音調和」『言語』5(6): 2-14.</w:t>
      </w:r>
    </w:p>
    <w:bookmarkEnd w:id="36"/>
    <w:bookmarkStart w:id="37" w:name="ref-林_南1974"/>
    <w:p>
      <w:pPr>
        <w:pStyle w:val="Bibliography"/>
      </w:pPr>
      <w:r>
        <w:t xml:space="preserve">林四郎・南不二男（1978）『世界の敬語』, 敬語講座第8巻. 東京: 明治書院.</w:t>
      </w:r>
    </w:p>
    <w:bookmarkEnd w:id="37"/>
    <w:bookmarkStart w:id="38" w:name="ref-柴谷1978"/>
    <w:p>
      <w:pPr>
        <w:pStyle w:val="Bibliography"/>
      </w:pPr>
      <w:r>
        <w:t xml:space="preserve">柴谷方良（1978）『日本語の分析：生成文法の方法』東京: 大修館書店.</w:t>
      </w:r>
    </w:p>
    <w:bookmarkEnd w:id="38"/>
    <w:bookmarkStart w:id="39" w:name="ref-梶1992"/>
    <w:p>
      <w:pPr>
        <w:pStyle w:val="Bibliography"/>
      </w:pPr>
      <w:r>
        <w:t xml:space="preserve">梶茂樹（1992）「テンボ語音韻論：その共時態と通時態」博士論文, 京都大学</w:t>
      </w:r>
    </w:p>
    <w:bookmarkEnd w:id="39"/>
    <w:bookmarkStart w:id="40" w:name="ref-橋本1966"/>
    <w:p>
      <w:pPr>
        <w:pStyle w:val="Bibliography"/>
      </w:pPr>
      <w:r>
        <w:t xml:space="preserve">橋本萬太郎（1966）「文法構造の関係概念と範疇概念」日本言語学会（編）『日本言語学会第55回大会口頭発表』京都大学, 1966年10月16日</w:t>
      </w:r>
    </w:p>
    <w:bookmarkEnd w:id="40"/>
    <w:bookmarkStart w:id="41" w:name="ref-金田一1932"/>
    <w:p>
      <w:pPr>
        <w:pStyle w:val="Bibliography"/>
      </w:pPr>
      <w:r>
        <w:t xml:space="preserve">金田一京助（1932）『国語音韻論』東京: 刀江書院.</w:t>
      </w:r>
    </w:p>
    <w:bookmarkEnd w:id="41"/>
    <w:bookmarkStart w:id="42" w:name="ref-金田一1955"/>
    <w:p>
      <w:pPr>
        <w:pStyle w:val="Bibliography"/>
      </w:pPr>
      <w:r>
        <w:t xml:space="preserve">金田一京助（1955）「アイヌ語」市河三喜・服部四郎（編）『世界言語概説 下』727-749. 東京: 研究社.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2022-11-06T15:02:03Z</dcterms:created>
  <dcterms:modified xsi:type="dcterms:W3CDTF">2022-11-06T15:02:03Z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lassoption">
    <vt:lpwstr/>
  </property>
  <property fmtid="{D5CDD505-2E9C-101B-9397-08002B2CF9AE}" pid="4" name="csl">
    <vt:lpwstr>../lsj-gengo-kenkyu.csl</vt:lpwstr>
  </property>
  <property fmtid="{D5CDD505-2E9C-101B-9397-08002B2CF9AE}" pid="5" name="documentclass">
    <vt:lpwstr>bxjsarticle</vt:lpwstr>
  </property>
  <property fmtid="{D5CDD505-2E9C-101B-9397-08002B2CF9AE}" pid="6" name="knit">
    <vt:lpwstr>(function(inputFile, encoding) { rmarkdown::render(inputFile, encoding = encoding, output_format = “all”) })</vt:lpwstr>
  </property>
  <property fmtid="{D5CDD505-2E9C-101B-9397-08002B2CF9AE}" pid="7" name="nocite">
    <vt:lpwstr>@*</vt:lpwstr>
  </property>
  <property fmtid="{D5CDD505-2E9C-101B-9397-08002B2CF9AE}" pid="8" name="output">
    <vt:lpwstr/>
  </property>
</Properties>
</file>