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pandoc-ling</w:t>
      </w:r>
    </w:p>
    <w:p>
      <w:pPr>
        <w:pStyle w:val="Author"/>
      </w:pPr>
      <w:r>
        <w:t xml:space="preserve">Michael</w:t>
      </w:r>
      <w:r>
        <w:t xml:space="preserve"> </w:t>
      </w:r>
      <w:r>
        <w:t xml:space="preserve">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pandoc-ling"/>
    <w:p>
      <w:pPr>
        <w:pStyle w:val="Heading1"/>
      </w:pPr>
      <w:r>
        <w:rPr>
          <w:rStyle w:val="SectionNumber"/>
        </w:rPr>
        <w:t xml:space="preserve">1</w:t>
      </w:r>
      <w:r>
        <w:tab/>
      </w:r>
      <w:r>
        <w:t xml:space="preserve">pandoc-ling</w:t>
      </w:r>
    </w:p>
    <w:p>
      <w:pPr>
        <w:pStyle w:val="FirstParagraph"/>
      </w:pPr>
      <w:r>
        <w:rPr>
          <w:iCs/>
          <w:i/>
        </w:rPr>
        <w:t xml:space="preserve">Michael Cysouw</w:t>
      </w:r>
      <w:r>
        <w:t xml:space="preserve"> </w:t>
      </w:r>
      <w:r>
        <w:t xml:space="preserve">&lt;</w:t>
      </w:r>
      <w:hyperlink r:id="rId20">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numPr>
          <w:ilvl w:val="0"/>
          <w:numId w:val="1001"/>
        </w:numPr>
        <w:pStyle w:val="Compact"/>
      </w:pPr>
      <w:r>
        <w:t xml:space="preserve">Easily write linguistic examples including basic interlinear glossing.</w:t>
      </w:r>
    </w:p>
    <w:p>
      <w:pPr>
        <w:numPr>
          <w:ilvl w:val="0"/>
          <w:numId w:val="1001"/>
        </w:numPr>
        <w:pStyle w:val="Compact"/>
      </w:pPr>
      <w:r>
        <w:t xml:space="preserve">Let numbering and cross-referencing be done for you.</w:t>
      </w:r>
    </w:p>
    <w:p>
      <w:pPr>
        <w:numPr>
          <w:ilvl w:val="0"/>
          <w:numId w:val="1001"/>
        </w:numPr>
        <w:pStyle w:val="Compact"/>
      </w:pPr>
      <w:r>
        <w:t xml:space="preserve">Export to (almost) any format of your wishes for final polishing.</w:t>
      </w:r>
    </w:p>
    <w:p>
      <w:pPr>
        <w:numPr>
          <w:ilvl w:val="0"/>
          <w:numId w:val="1001"/>
        </w:numPr>
        <w:pStyle w:val="Compact"/>
      </w:pPr>
      <w:r>
        <w:t xml:space="preserve">As an example, check out this readme in</w:t>
      </w:r>
      <w:r>
        <w:t xml:space="preserve"> </w:t>
      </w:r>
      <w:hyperlink r:id="rId21">
        <w:r>
          <w:rPr>
            <w:rStyle w:val="Hyperlink"/>
          </w:rPr>
          <w:t xml:space="preserve">HTML</w:t>
        </w:r>
      </w:hyperlink>
      <w:r>
        <w:t xml:space="preserve"> </w:t>
      </w:r>
      <w:r>
        <w:t xml:space="preserve">or</w:t>
      </w:r>
      <w:r>
        <w:t xml:space="preserve"> </w:t>
      </w:r>
      <w:hyperlink r:id="rId22">
        <w:r>
          <w:rPr>
            <w:rStyle w:val="Hyperlink"/>
          </w:rPr>
          <w:t xml:space="preserve">Latex</w:t>
        </w:r>
      </w:hyperlink>
      <w:r>
        <w:t xml:space="preserve">.</w:t>
      </w:r>
    </w:p>
    <w:bookmarkEnd w:id="23"/>
    <w:bookmarkStart w:id="26"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24">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w:t>
      </w:r>
      <w:r>
        <w:t xml:space="preserve">common denominator</w:t>
      </w:r>
      <w:r>
        <w:t xml:space="preserve">’</w:t>
      </w:r>
      <w:r>
        <w:t xml:space="preserve"> </w:t>
      </w:r>
      <w:r>
        <w:t xml:space="preserve">if you will, but surely not</w:t>
      </w:r>
      <w:r>
        <w:t xml:space="preserve"> </w:t>
      </w:r>
      <w:r>
        <w:t xml:space="preserve">‘</w:t>
      </w:r>
      <w:r>
        <w:t xml:space="preserve">least</w:t>
      </w:r>
      <w:r>
        <w:t xml:space="preserve">’</w:t>
      </w:r>
      <w:r>
        <w:t xml:space="preserve">!) that can then be mapped to other formats. In many ways, Pandoc tries (again) to define a set of logical concepts for text structure (</w:t>
      </w:r>
      <w:r>
        <w:t xml:space="preserve">‘</w:t>
      </w:r>
      <w:r>
        <w:t xml:space="preserve">semantic markup</w:t>
      </w:r>
      <w:r>
        <w:t xml:space="preserve">’</w:t>
      </w:r>
      <w:r>
        <w:t xml:space="preserve">), which can then be formatted by your favourite typesetter. As long as you stay inside the realm of this</w:t>
      </w:r>
      <w:r>
        <w:t xml:space="preserve"> </w:t>
      </w:r>
      <w:r>
        <w:t xml:space="preserve">‘</w:t>
      </w:r>
      <w:r>
        <w:t xml:space="preserve">common denominator</w:t>
      </w:r>
      <w:r>
        <w:t xml:space="preserve">’</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25">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w:t>
      </w:r>
      <w:r>
        <w:t xml:space="preserve">Pandoc Lua Filter</w:t>
      </w:r>
      <w:r>
        <w:t xml:space="preserve">’</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26"/>
    <w:bookmarkStart w:id="30"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numPr>
          <w:ilvl w:val="0"/>
          <w:numId w:val="1002"/>
        </w:numPr>
        <w:pStyle w:val="Compact"/>
      </w:pPr>
      <w:r>
        <w:rPr>
          <w:bCs/>
          <w:b/>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numPr>
          <w:ilvl w:val="0"/>
          <w:numId w:val="1002"/>
        </w:numPr>
        <w:pStyle w:val="Compact"/>
      </w:pPr>
      <w:r>
        <w:rPr>
          <w:bCs/>
          <w:b/>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numPr>
          <w:ilvl w:val="0"/>
          <w:numId w:val="1002"/>
        </w:numPr>
        <w:pStyle w:val="Compact"/>
      </w:pPr>
      <w:r>
        <w:rPr>
          <w:bCs/>
          <w:b/>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numPr>
          <w:ilvl w:val="0"/>
          <w:numId w:val="1002"/>
        </w:numPr>
        <w:pStyle w:val="Compact"/>
      </w:pPr>
      <w:r>
        <w:rPr>
          <w:bCs/>
          <w:b/>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numPr>
          <w:ilvl w:val="0"/>
          <w:numId w:val="1002"/>
        </w:numPr>
        <w:pStyle w:val="Compact"/>
      </w:pPr>
      <w:r>
        <w:rPr>
          <w:bCs/>
          <w:b/>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numPr>
          <w:ilvl w:val="0"/>
          <w:numId w:val="1002"/>
        </w:numPr>
        <w:pStyle w:val="Compact"/>
      </w:pPr>
      <w:r>
        <w:rPr>
          <w:bCs/>
          <w:b/>
        </w:rPr>
        <w:t xml:space="preserve">Interlinear example</w:t>
      </w:r>
      <w:r>
        <w:t xml:space="preserve">: A complex structure typically used for examples from languages unknown to most readers. Consist of three or four lines that are left-aligned:</w:t>
      </w:r>
    </w:p>
    <w:p>
      <w:pPr>
        <w:numPr>
          <w:ilvl w:val="1"/>
          <w:numId w:val="1003"/>
        </w:numPr>
        <w:pStyle w:val="Compact"/>
      </w:pPr>
      <w:r>
        <w:rPr>
          <w:bCs/>
          <w:b/>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numPr>
          <w:ilvl w:val="1"/>
          <w:numId w:val="1003"/>
        </w:numPr>
        <w:pStyle w:val="Compact"/>
      </w:pPr>
      <w:r>
        <w:rPr>
          <w:bCs/>
          <w:b/>
        </w:rPr>
        <w:t xml:space="preserve">Source</w:t>
      </w:r>
      <w:r>
        <w:t xml:space="preserve">: The actual language utterance, often typeset in italics. This line is internally separated at spaces, and each sub-block is left-aligned with the corresponding sub-blocks of the gloss.</w:t>
      </w:r>
    </w:p>
    <w:p>
      <w:pPr>
        <w:numPr>
          <w:ilvl w:val="1"/>
          <w:numId w:val="1003"/>
        </w:numPr>
        <w:pStyle w:val="Compact"/>
      </w:pPr>
      <w:r>
        <w:rPr>
          <w:bCs/>
          <w:b/>
        </w:rPr>
        <w:t xml:space="preserve">Gloss</w:t>
      </w:r>
      <w:r>
        <w:t xml:space="preserve">: Explanation of the meaning of the source, often using abbreviations in small caps. This line is internally separated at spaces, and each block is left-aligned with the block from source.</w:t>
      </w:r>
    </w:p>
    <w:p>
      <w:pPr>
        <w:numPr>
          <w:ilvl w:val="1"/>
          <w:numId w:val="1003"/>
        </w:numPr>
        <w:pStyle w:val="Compact"/>
      </w:pPr>
      <w:r>
        <w:rPr>
          <w:bCs/>
          <w:b/>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28" name="Picture"/>
            <a:graphic>
              <a:graphicData uri="http://schemas.openxmlformats.org/drawingml/2006/picture">
                <pic:pic>
                  <pic:nvPicPr>
                    <pic:cNvPr descr="figure/ExampleStructure.png" id="29" name="Picture"/>
                    <pic:cNvPicPr>
                      <a:picLocks noChangeArrowheads="1" noChangeAspect="1"/>
                    </pic:cNvPicPr>
                  </pic:nvPicPr>
                  <pic:blipFill>
                    <a:blip r:embed="rId27"/>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30"/>
    <w:bookmarkStart w:id="63"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40"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w:t>
      </w:r>
      <w:r>
        <w:t xml:space="preserve">ex</w:t>
      </w:r>
      <w:r>
        <w:t xml:space="preserve">’</w:t>
      </w:r>
      <w:r>
        <w:t xml:space="preserve"> </w:t>
      </w:r>
      <w:r>
        <w:t xml:space="preserve">(for</w:t>
      </w:r>
      <w:r>
        <w:t xml:space="preserve"> </w:t>
      </w:r>
      <w:r>
        <w:t xml:space="preserve">‘</w:t>
      </w:r>
      <w:r>
        <w:t xml:space="preserve">example</w:t>
      </w:r>
      <w:r>
        <w:t xml:space="preserve">’</w:t>
      </w:r>
      <w:r>
        <w:t xml:space="preserve">) should be added after the top colons (with or without space in between). This</w:t>
      </w:r>
      <w:r>
        <w:t xml:space="preserve"> </w:t>
      </w:r>
      <w:r>
        <w:t xml:space="preserve">‘</w:t>
      </w:r>
      <w:r>
        <w:t xml:space="preserve">ex</w:t>
      </w:r>
      <w:r>
        <w:t xml:space="preserve">’</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Cs/>
          <w:i/>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31" w:name="ex4.1"/>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w:t>
            </w:r>
          </w:p>
        </w:tc>
        <w:tc>
          <w:tcPr/>
          <w:p>
            <w:pPr>
              <w:pStyle w:val="Compact"/>
              <w:jc w:val="left"/>
            </w:pPr>
            <w:r>
              <w:t xml:space="preserve">This is the most basic structure of a linguistic example.</w:t>
            </w:r>
          </w:p>
        </w:tc>
      </w:tr>
    </w:tbl>
    <w:bookmarkEnd w:id="31"/>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32" w:name="ex4.2"/>
    <w:tbl>
      <w:tblPr>
        <w:tblStyle w:val="Table"/>
        <w:tblW w:type="auto" w:w="0"/>
        <w:tblLook w:firstRow="0" w:lastRow="0" w:firstColumn="0" w:lastColumn="0" w:noHBand="0" w:noVBand="0" w:val="0000"/>
      </w:tblPr>
      <w:tblGrid>
        <w:gridCol w:w="3960"/>
        <w:gridCol w:w="3960"/>
      </w:tblGrid>
      <w:tr>
        <w:tc>
          <w:tcPr/>
          <w:p>
            <w:pPr>
              <w:pStyle w:val="Compact"/>
              <w:jc w:val="lef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32"/>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33" w:name="ex4.3"/>
    <w:tbl>
      <w:tblPr>
        <w:tblStyle w:val="Table"/>
        <w:tblW w:type="auto" w:w="0"/>
        <w:tblLook w:firstRow="0" w:lastRow="0" w:firstColumn="0" w:lastColumn="0" w:noHBand="0" w:noVBand="0" w:val="0000"/>
      </w:tblPr>
      <w:tblGrid>
        <w:gridCol w:w="3960"/>
        <w:gridCol w:w="3960"/>
      </w:tblGrid>
      <w:tr>
        <w:tc>
          <w:tcPr/>
          <w:p>
            <w:pPr>
              <w:pStyle w:val="Compact"/>
              <w:jc w:val="lef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33"/>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Cs/>
          <w:i/>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34" w:name="ex4.4"/>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34"/>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35" w:name="ex4.5"/>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35"/>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36"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36"/>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37" w:name="ex4.7"/>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37"/>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38"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38"/>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39" w:name="ex4.9"/>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39"/>
    <w:bookmarkEnd w:id="40"/>
    <w:bookmarkStart w:id="45"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w:t>
      </w:r>
      <w:r>
        <w:t xml:space="preserve">protect</w:t>
      </w:r>
      <w:r>
        <w:t xml:space="preserve">’</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1"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41"/>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numPr>
          <w:ilvl w:val="0"/>
          <w:numId w:val="1004"/>
        </w:numPr>
        <w:pStyle w:val="Compact"/>
      </w:pPr>
      <w:r>
        <w:t xml:space="preserve">remove formatting from the source and set everything in italics,</w:t>
      </w:r>
    </w:p>
    <w:p>
      <w:pPr>
        <w:numPr>
          <w:ilvl w:val="0"/>
          <w:numId w:val="1004"/>
        </w:numPr>
        <w:pStyle w:val="Compact"/>
      </w:pPr>
      <w:r>
        <w:t xml:space="preserve">remove formatting from the gloss and set sequences (&gt;1) of capitals and numbers into small caps (note that the positioning of small caps on web pages is</w:t>
      </w:r>
      <w:r>
        <w:t xml:space="preserve"> </w:t>
      </w:r>
      <w:hyperlink r:id="rId42">
        <w:r>
          <w:rPr>
            <w:rStyle w:val="Hyperlink"/>
          </w:rPr>
          <w:t xml:space="preserve">highly complex</w:t>
        </w:r>
      </w:hyperlink>
      <w:r>
        <w:t xml:space="preserve">),</w:t>
      </w:r>
    </w:p>
    <w:p>
      <w:pPr>
        <w:numPr>
          <w:ilvl w:val="0"/>
          <w:numId w:val="1004"/>
        </w:numPr>
        <w:pStyle w:val="Compact"/>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numPr>
          <w:ilvl w:val="0"/>
          <w:numId w:val="1004"/>
        </w:numPr>
        <w:pStyle w:val="Compact"/>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3" w:name="ex4.11"/>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(4.11)</w:t>
            </w:r>
          </w:p>
        </w:tc>
        <w:tc>
          <w:tcPr>
            <w:gridSpan w:val="6"/>
          </w:tcPr>
          <w:p>
            <w:pPr>
              <w:pStyle w:val="Compact"/>
              <w:jc w:val="left"/>
            </w:pPr>
            <w:r>
              <w:t xml:space="preserve">Dutch (Germanic)</w:t>
            </w:r>
          </w:p>
        </w:tc>
      </w:tr>
      <w:tr>
        <w:tc>
          <w:tcPr/>
          <w:p>
            <w:pPr>
              <w:pStyle w:val="Compact"/>
            </w:pPr>
          </w:p>
        </w:tc>
        <w:tc>
          <w:tcPr/>
          <w:p>
            <w:pPr>
              <w:pStyle w:val="Compact"/>
              <w:jc w:val="left"/>
            </w:pPr>
            <w:r>
              <w:rPr>
                <w:iCs/>
                <w:i/>
              </w:rPr>
              <w:t xml:space="preserve">Deze</w:t>
            </w:r>
          </w:p>
        </w:tc>
        <w:tc>
          <w:tcPr/>
          <w:p>
            <w:pPr>
              <w:pStyle w:val="Compact"/>
              <w:jc w:val="left"/>
            </w:pPr>
            <w:r>
              <w:rPr>
                <w:iCs/>
                <w:i/>
              </w:rPr>
              <w:t xml:space="preserve">zin</w:t>
            </w:r>
          </w:p>
        </w:tc>
        <w:tc>
          <w:tcPr/>
          <w:p>
            <w:pPr>
              <w:pStyle w:val="Compact"/>
              <w:jc w:val="left"/>
            </w:pPr>
            <w:r>
              <w:rPr>
                <w:iCs/>
                <w:i/>
              </w:rPr>
              <w:t xml:space="preserve">is</w:t>
            </w:r>
          </w:p>
        </w:tc>
        <w:tc>
          <w:tcPr/>
          <w:p>
            <w:pPr>
              <w:pStyle w:val="Compact"/>
              <w:jc w:val="left"/>
            </w:pPr>
            <w:r>
              <w:rPr>
                <w:iCs/>
                <w:i/>
              </w:rPr>
              <w:t xml:space="preserve">in</w:t>
            </w:r>
          </w:p>
        </w:tc>
        <w:tc>
          <w:tcPr/>
          <w:p>
            <w:pPr>
              <w:pStyle w:val="Compact"/>
              <w:jc w:val="left"/>
            </w:pPr>
            <w:r>
              <w:rPr>
                <w:iCs/>
                <w:i/>
              </w:rPr>
              <w:t xml:space="preserve">het</w:t>
            </w:r>
          </w:p>
        </w:tc>
        <w:tc>
          <w:tcPr/>
          <w:p>
            <w:pPr>
              <w:pStyle w:val="Compact"/>
              <w:jc w:val="left"/>
            </w:pPr>
            <w:r>
              <w:rPr>
                <w:iCs/>
                <w:i/>
              </w:rPr>
              <w:t xml:space="preserve">nederlands.</w:t>
            </w:r>
          </w:p>
        </w:tc>
      </w:tr>
      <w:tr>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w:t>
            </w:r>
            <w:r>
              <w:t xml:space="preserve">This sentence is dutch.</w:t>
            </w:r>
            <w:r>
              <w:t xml:space="preserve">’</w:t>
            </w:r>
          </w:p>
        </w:tc>
      </w:tr>
    </w:tbl>
    <w:bookmarkEnd w:id="43"/>
    <w:p>
      <w:pPr>
        <w:pStyle w:val="BodyText"/>
      </w:pPr>
      <w:r>
        <w:t xml:space="preserve">The results of such formatting will not always work, but it seems to be quite robust in my testing. The next example brings everything together:</w:t>
      </w:r>
    </w:p>
    <w:p>
      <w:pPr>
        <w:numPr>
          <w:ilvl w:val="0"/>
          <w:numId w:val="1005"/>
        </w:numPr>
        <w:pStyle w:val="Compact"/>
      </w:pPr>
      <w:r>
        <w:t xml:space="preserve">a preamble,</w:t>
      </w:r>
    </w:p>
    <w:p>
      <w:pPr>
        <w:numPr>
          <w:ilvl w:val="0"/>
          <w:numId w:val="1005"/>
        </w:numPr>
        <w:pStyle w:val="Compact"/>
      </w:pPr>
      <w:r>
        <w:t xml:space="preserve">labels, both for single lines and for interlinear examples,</w:t>
      </w:r>
    </w:p>
    <w:p>
      <w:pPr>
        <w:numPr>
          <w:ilvl w:val="0"/>
          <w:numId w:val="1005"/>
        </w:numPr>
        <w:pStyle w:val="Compact"/>
      </w:pPr>
      <w:r>
        <w:t xml:space="preserve">interlinear examples start on a new line immediately after the letter-label,</w:t>
      </w:r>
    </w:p>
    <w:p>
      <w:pPr>
        <w:numPr>
          <w:ilvl w:val="0"/>
          <w:numId w:val="1005"/>
        </w:numPr>
        <w:pStyle w:val="Compact"/>
      </w:pPr>
      <w:r>
        <w:t xml:space="preserve">grammaticality judgements with proper alignment,</w:t>
      </w:r>
    </w:p>
    <w:p>
      <w:pPr>
        <w:numPr>
          <w:ilvl w:val="0"/>
          <w:numId w:val="1005"/>
        </w:numPr>
        <w:pStyle w:val="Compact"/>
      </w:pPr>
      <w:r>
        <w:t xml:space="preserve">when the header of an interlinear example is left out, everything is shifted up,</w:t>
      </w:r>
    </w:p>
    <w:p>
      <w:pPr>
        <w:numPr>
          <w:ilvl w:val="0"/>
          <w:numId w:val="1005"/>
        </w:numPr>
        <w:pStyle w:val="Compact"/>
      </w:pPr>
      <w:r>
        <w:t xml:space="preserve">The formatting of the interlinear is harmonised.</w:t>
      </w:r>
    </w:p>
    <w:p>
      <w:pPr>
        <w:pStyle w:val="SourceCode"/>
      </w:pPr>
      <w:r>
        <w:rPr>
          <w:rStyle w:val="VerbatimChar"/>
        </w:rPr>
        <w:t xml:space="preserve">::: {.ex formatGloss=true samePage=false}</w:t>
      </w:r>
      <w:r>
        <w:br/>
      </w:r>
      <w:r>
        <w:rPr>
          <w:rStyle w:val="VerbatimChar"/>
        </w:rPr>
        <w:t xml:space="preserve">Completely superfluous preamble, but it works ...</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rPr>
          <w:rStyle w:val="VerbatimChar"/>
        </w:rPr>
        <w:t xml:space="preserve">:::</w:t>
      </w:r>
    </w:p>
    <w:p>
      <w:pPr>
        <w:pStyle w:val="FirstParagraph"/>
      </w:pPr>
    </w:p>
    <w:bookmarkStart w:id="44" w:name="ex4.12"/>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(4.12)</w:t>
            </w:r>
          </w:p>
        </w:tc>
        <w:tc>
          <w:tcPr>
            <w:gridSpan w:val="3"/>
          </w:tcPr>
          <w:p>
            <w:pPr>
              <w:pStyle w:val="Compact"/>
              <w:jc w:val="left"/>
            </w:pPr>
            <w:r>
              <w:t xml:space="preserve">Completely superfluous preamble, but it works …</w:t>
            </w:r>
          </w:p>
        </w:tc>
      </w:tr>
      <w:tr>
        <w:tc>
          <w:tcPr/>
          <w:p>
            <w:pPr>
              <w:pStyle w:val="Compact"/>
            </w:pPr>
          </w:p>
        </w:tc>
        <w:tc>
          <w:tcPr/>
          <w:p>
            <w:pPr>
              <w:pStyle w:val="Compact"/>
              <w:jc w:val="left"/>
            </w:pPr>
            <w:r>
              <w:t xml:space="preserve">a.</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b.</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t xml:space="preserve">          </w:t>
            </w:r>
          </w:p>
        </w:tc>
        <w:tc>
          <w:tcPr/>
          <w:p>
            <w:pPr>
              <w:pStyle w:val="Compact"/>
              <w:jc w:val="left"/>
            </w:pPr>
            <w:r>
              <w:t xml:space="preserve">c.</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Cs/>
                <w:i/>
              </w:rPr>
              <w:t xml:space="preserve">Deze</w:t>
            </w:r>
          </w:p>
        </w:tc>
        <w:tc>
          <w:tcPr/>
          <w:p>
            <w:pPr>
              <w:pStyle w:val="Compact"/>
              <w:jc w:val="left"/>
            </w:pPr>
            <w:r>
              <w:rPr>
                <w:iCs/>
                <w:i/>
              </w:rPr>
              <w:t xml:space="preserve">zin</w:t>
            </w:r>
          </w:p>
        </w:tc>
        <w:tc>
          <w:tcPr/>
          <w:p>
            <w:pPr>
              <w:pStyle w:val="Compact"/>
              <w:jc w:val="left"/>
            </w:pPr>
            <w:r>
              <w:rPr>
                <w:iCs/>
                <w:i/>
              </w:rPr>
              <w:t xml:space="preserve">is</w:t>
            </w:r>
          </w:p>
        </w:tc>
        <w:tc>
          <w:tcPr/>
          <w:p>
            <w:pPr>
              <w:pStyle w:val="Compact"/>
              <w:jc w:val="left"/>
            </w:pPr>
            <w:r>
              <w:rPr>
                <w:iCs/>
                <w:i/>
              </w:rPr>
              <w:t xml:space="preserve">(dit is test)</w:t>
            </w:r>
          </w:p>
        </w:tc>
        <w:tc>
          <w:tcPr/>
          <w:p>
            <w:pPr>
              <w:pStyle w:val="Compact"/>
              <w:jc w:val="left"/>
            </w:pPr>
            <w:r>
              <w:rPr>
                <w:iCs/>
                <w:i/>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w:t>
            </w:r>
            <w:r>
              <w:t xml:space="preserve">This sentence is dutch.</w:t>
            </w:r>
            <w:r>
              <w:t xml:space="preserve">’</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t xml:space="preserve">          </w:t>
            </w:r>
          </w:p>
        </w:tc>
        <w:tc>
          <w:tcPr/>
          <w:p>
            <w:pPr>
              <w:pStyle w:val="Compact"/>
              <w:jc w:val="left"/>
            </w:pPr>
            <w:r>
              <w:t xml:space="preserve">d.</w:t>
            </w:r>
          </w:p>
        </w:tc>
        <w:tc>
          <w:tcPr/>
          <w:p/>
        </w:tc>
        <w:tc>
          <w:tcPr/>
          <w:p>
            <w:pPr>
              <w:pStyle w:val="Compact"/>
              <w:jc w:val="left"/>
            </w:pPr>
            <w:r>
              <w:rPr>
                <w:iCs/>
                <w:i/>
              </w:rPr>
              <w:t xml:space="preserve">Deze</w:t>
            </w:r>
          </w:p>
        </w:tc>
        <w:tc>
          <w:tcPr/>
          <w:p>
            <w:pPr>
              <w:pStyle w:val="Compact"/>
              <w:jc w:val="left"/>
            </w:pPr>
            <w:r>
              <w:rPr>
                <w:iCs/>
                <w:i/>
              </w:rPr>
              <w:t xml:space="preserve">tweede</w:t>
            </w:r>
          </w:p>
        </w:tc>
        <w:tc>
          <w:tcPr/>
          <w:p>
            <w:pPr>
              <w:pStyle w:val="Compact"/>
              <w:jc w:val="left"/>
            </w:pPr>
            <w:r>
              <w:rPr>
                <w:iCs/>
                <w:i/>
              </w:rPr>
              <w:t xml:space="preserve">zin</w:t>
            </w:r>
          </w:p>
        </w:tc>
        <w:tc>
          <w:tcPr/>
          <w:p>
            <w:pPr>
              <w:pStyle w:val="Compact"/>
              <w:jc w:val="left"/>
            </w:pPr>
            <w:r>
              <w:rPr>
                <w:iCs/>
                <w:i/>
              </w:rPr>
              <w:t xml:space="preserve">heeft</w:t>
            </w:r>
          </w:p>
        </w:tc>
        <w:tc>
          <w:tcPr/>
          <w:p>
            <w:pPr>
              <w:pStyle w:val="Compact"/>
              <w:jc w:val="left"/>
            </w:pPr>
            <w:r>
              <w:rPr>
                <w:iCs/>
                <w:i/>
              </w:rPr>
              <w:t xml:space="preserve">geen</w:t>
            </w:r>
          </w:p>
        </w:tc>
        <w:tc>
          <w:tcPr/>
          <w:p>
            <w:pPr>
              <w:pStyle w:val="Compact"/>
              <w:jc w:val="left"/>
            </w:pPr>
            <w:r>
              <w:rPr>
                <w:iCs/>
                <w:i/>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w:t>
            </w:r>
            <w:r>
              <w:t xml:space="preserve">This second sentence does not have a header.</w:t>
            </w:r>
            <w:r>
              <w:t xml:space="preserve">’</w:t>
            </w:r>
          </w:p>
        </w:tc>
      </w:tr>
    </w:tbl>
    <w:bookmarkEnd w:id="44"/>
    <w:bookmarkEnd w:id="45"/>
    <w:bookmarkStart w:id="50"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(4.13)</w:t>
        </w:r>
      </w:hyperlink>
      <w:r>
        <w:t xml:space="preserve"> </w:t>
      </w:r>
      <w:r>
        <w:t xml:space="preserve">when formatted (note that the formatting does not work on the github website. Please check the</w:t>
      </w:r>
      <w:r>
        <w:t xml:space="preserve"> </w:t>
      </w:r>
      <w:r>
        <w:t xml:space="preserve">‘</w:t>
      </w:r>
      <w:r>
        <w:t xml:space="preserve">docs</w:t>
      </w:r>
      <w:r>
        <w:t xml:space="preserve">’</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46" w:name="ex4.13"/>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(4.13)</w:t>
            </w:r>
          </w:p>
        </w:tc>
        <w:tc>
          <w:tcPr/>
          <w:p>
            <w:pPr>
              <w:pStyle w:val="Compact"/>
              <w:jc w:val="left"/>
            </w:pPr>
            <w:r>
              <w:t xml:space="preserve">This is a test</w:t>
            </w:r>
          </w:p>
        </w:tc>
      </w:tr>
    </w:tbl>
    <w:bookmarkEnd w:id="46"/>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(4.13)</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6">
        <w:r>
          <w:rPr>
            <w:rStyle w:val="Hyperlink"/>
          </w:rPr>
          <w:t xml:space="preserve">(4.6)</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2">
        <w:r>
          <w:rPr>
            <w:rStyle w:val="Hyperlink"/>
          </w:rPr>
          <w:t xml:space="preserve">(4.12 c)</w:t>
        </w:r>
      </w:hyperlink>
      <w:r>
        <w:t xml:space="preserve">, smile! However, note that the</w:t>
      </w:r>
      <w:r>
        <w:t xml:space="preserve"> </w:t>
      </w:r>
      <w:r>
        <w:t xml:space="preserve">“</w:t>
      </w:r>
      <w:r>
        <w:t xml:space="preserve">c</w:t>
      </w:r>
      <w:r>
        <w:t xml:space="preserve">”</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(4.13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47">
        <w:r>
          <w:rPr>
            <w:rStyle w:val="Hyperlink"/>
          </w:rPr>
          <w:t xml:space="preserve">this link</w:t>
        </w:r>
      </w:hyperlink>
      <w:r>
        <w:t xml:space="preserve">). The id in this example has a chapter number</w:t>
      </w:r>
      <w:r>
        <w:t xml:space="preserve"> </w:t>
      </w:r>
      <w:r>
        <w:t xml:space="preserve">‘</w:t>
      </w:r>
      <w:r>
        <w:t xml:space="preserve">4</w:t>
      </w:r>
      <w:r>
        <w:t xml:space="preserve">’</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48">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49">
        <w:r>
          <w:rPr>
            <w:rStyle w:val="VerbatimChar"/>
          </w:rPr>
          <w:t xml:space="preserve">count-para</w:t>
        </w:r>
      </w:hyperlink>
      <w:r>
        <w:t xml:space="preserve"> </w:t>
      </w:r>
      <w:r>
        <w:t xml:space="preserve">for a practical mechanism to add such numbering).</w:t>
      </w:r>
    </w:p>
    <w:bookmarkEnd w:id="50"/>
    <w:bookmarkStart w:id="55"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52"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51">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numPr>
          <w:ilvl w:val="0"/>
          <w:numId w:val="1006"/>
        </w:numPr>
        <w:pStyle w:val="Compact"/>
      </w:pPr>
      <w:r>
        <w:rPr>
          <w:rStyle w:val="VerbatimChar"/>
          <w:bCs/>
          <w:b/>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numPr>
          <w:ilvl w:val="0"/>
          <w:numId w:val="1006"/>
        </w:numPr>
        <w:pStyle w:val="Compact"/>
      </w:pPr>
      <w:r>
        <w:rPr>
          <w:rStyle w:val="VerbatimChar"/>
          <w:bCs/>
          <w:b/>
        </w:rPr>
        <w:t xml:space="preserve">samePage</w:t>
      </w:r>
      <w:r>
        <w:t xml:space="preserve"> </w:t>
      </w:r>
      <w:r>
        <w:t xml:space="preserve">(boolean, default</w:t>
      </w:r>
      <w:r>
        <w:t xml:space="preserve"> </w:t>
      </w:r>
      <w:r>
        <w:rPr>
          <w:rStyle w:val="VerbatimChar"/>
        </w:rPr>
        <w:t xml:space="preserve">true</w:t>
      </w:r>
      <w:r>
        <w:t xml:space="preserve">, only for Latex): should examples be kept together on the same page? Can also be overriden for individual examples by adding</w:t>
      </w:r>
      <w:r>
        <w:t xml:space="preserve"> </w:t>
      </w:r>
      <w:r>
        <w:rPr>
          <w:rStyle w:val="VerbatimChar"/>
        </w:rPr>
        <w:t xml:space="preserve">{.ex samePage=false}</w:t>
      </w:r>
      <w:r>
        <w:t xml:space="preserve"> </w:t>
      </w:r>
      <w:r>
        <w:t xml:space="preserve">at the start of an example (cf. below on</w:t>
      </w:r>
      <w:r>
        <w:t xml:space="preserve"> </w:t>
      </w:r>
      <w:r>
        <w:rPr>
          <w:rStyle w:val="VerbatimChar"/>
        </w:rPr>
        <w:t xml:space="preserve">local options</w:t>
      </w:r>
      <w:r>
        <w:t xml:space="preserve">).</w:t>
      </w:r>
    </w:p>
    <w:p>
      <w:pPr>
        <w:numPr>
          <w:ilvl w:val="0"/>
          <w:numId w:val="1006"/>
        </w:numPr>
        <w:pStyle w:val="Compact"/>
      </w:pPr>
      <w:r>
        <w:rPr>
          <w:rStyle w:val="VerbatimChar"/>
          <w:bCs/>
          <w:b/>
        </w:rPr>
        <w:t xml:space="preserve">xrefSuffixSep</w:t>
      </w:r>
      <w:r>
        <w:t xml:space="preserve"> </w:t>
      </w:r>
      <w:r>
        <w:t xml:space="preserve">(string, defaults to no-break-space): When cross references have a suffix, how should the separator be formatted? The defaults</w:t>
      </w:r>
      <w:r>
        <w:t xml:space="preserve"> </w:t>
      </w:r>
      <w:r>
        <w:t xml:space="preserve">‘</w:t>
      </w:r>
      <w:r>
        <w:t xml:space="preserve">no-break-space</w:t>
      </w:r>
      <w:r>
        <w:t xml:space="preserve">’</w:t>
      </w:r>
      <w:r>
        <w:t xml:space="preserve"> </w:t>
      </w:r>
      <w:r>
        <w:t xml:space="preserve">is a safe options. I personally like a</w:t>
      </w:r>
      <w:r>
        <w:t xml:space="preserve"> </w:t>
      </w:r>
      <w:r>
        <w:t xml:space="preserve">‘</w:t>
      </w:r>
      <w:r>
        <w:t xml:space="preserve">narrow no-break space</w:t>
      </w:r>
      <w:r>
        <w:t xml:space="preserv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numPr>
          <w:ilvl w:val="0"/>
          <w:numId w:val="1006"/>
        </w:numPr>
        <w:pStyle w:val="Compact"/>
      </w:pPr>
      <w:r>
        <w:rPr>
          <w:rStyle w:val="VerbatimChar"/>
          <w:bCs/>
          <w:b/>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numPr>
          <w:ilvl w:val="1"/>
          <w:numId w:val="1007"/>
        </w:numPr>
        <w:pStyle w:val="Compact"/>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numPr>
          <w:ilvl w:val="1"/>
          <w:numId w:val="1007"/>
        </w:numPr>
        <w:pStyle w:val="Compact"/>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numPr>
          <w:ilvl w:val="1"/>
          <w:numId w:val="1007"/>
        </w:numPr>
        <w:pStyle w:val="Compact"/>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numPr>
          <w:ilvl w:val="0"/>
          <w:numId w:val="1006"/>
        </w:numPr>
        <w:pStyle w:val="Compact"/>
      </w:pPr>
      <w:r>
        <w:rPr>
          <w:rStyle w:val="VerbatimChar"/>
          <w:bCs/>
          <w:b/>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numPr>
          <w:ilvl w:val="0"/>
          <w:numId w:val="1006"/>
        </w:numPr>
        <w:pStyle w:val="Compact"/>
      </w:pPr>
      <w:r>
        <w:rPr>
          <w:rStyle w:val="VerbatimChar"/>
          <w:bCs/>
          <w:b/>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Cs/>
          <w:b/>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52"/>
    <w:bookmarkStart w:id="54"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53" w:name="ex4.14"/>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(4.14)</w:t>
            </w:r>
          </w:p>
        </w:tc>
        <w:tc>
          <w:tcPr/>
          <w:p>
            <w:pPr>
              <w:jc w:val="left"/>
            </w:pPr>
            <m:oMathPara>
              <m:oMathParaPr>
                <m:jc m:val="center"/>
              </m:oMathParaPr>
              <m:oMath>
                <m:nary>
                  <m:naryPr>
                    <m:chr m:val="∑"/>
                    <m:limLoc m:val="undOvr"/>
                    <m:subHide m:val="0"/>
                    <m:supHide m:val="0"/>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53"/>
    <w:bookmarkEnd w:id="54"/>
    <w:bookmarkEnd w:id="55"/>
    <w:bookmarkStart w:id="59"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numPr>
          <w:ilvl w:val="0"/>
          <w:numId w:val="1008"/>
        </w:numPr>
        <w:pStyle w:val="Compact"/>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numPr>
          <w:ilvl w:val="0"/>
          <w:numId w:val="1008"/>
        </w:numPr>
        <w:pStyle w:val="Compact"/>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Cs/>
          <w:b/>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56">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numPr>
          <w:ilvl w:val="0"/>
          <w:numId w:val="1008"/>
        </w:numPr>
        <w:pStyle w:val="Compact"/>
      </w:pPr>
      <w:r>
        <w:t xml:space="preserve">Interlinear examples will will not wrap at the end of the page. There is no solution yet for longer examples that are longer than the size of the page.</w:t>
      </w:r>
    </w:p>
    <w:p>
      <w:pPr>
        <w:numPr>
          <w:ilvl w:val="0"/>
          <w:numId w:val="1008"/>
        </w:numPr>
        <w:pStyle w:val="Compact"/>
      </w:pPr>
      <w:r>
        <w:t xml:space="preserve">It is not (yet) possible to have more than one glossing line.</w:t>
      </w:r>
    </w:p>
    <w:p>
      <w:pPr>
        <w:numPr>
          <w:ilvl w:val="0"/>
          <w:numId w:val="1008"/>
        </w:numPr>
        <w:pStyle w:val="Compact"/>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57">
        <w:r>
          <w:rPr>
            <w:rStyle w:val="Hyperlink"/>
          </w:rPr>
          <w:t xml:space="preserve">by design</w:t>
        </w:r>
      </w:hyperlink>
      <w:r>
        <w:t xml:space="preserve">. The official solution is to set font-size to 1 for this paragraph inside MS Word.</w:t>
      </w:r>
    </w:p>
    <w:p>
      <w:pPr>
        <w:numPr>
          <w:ilvl w:val="0"/>
          <w:numId w:val="1008"/>
        </w:numPr>
        <w:pStyle w:val="Compact"/>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numPr>
          <w:ilvl w:val="0"/>
          <w:numId w:val="1008"/>
        </w:numPr>
        <w:pStyle w:val="Compact"/>
      </w:pPr>
      <w:r>
        <w:rPr>
          <w:rStyle w:val="VerbatimChar"/>
        </w:rPr>
        <w:t xml:space="preserve">langsci-gb4e</w:t>
      </w:r>
      <w:r>
        <w:t xml:space="preserve"> </w:t>
      </w:r>
      <w:r>
        <w:t xml:space="preserve">is only available as part of the</w:t>
      </w:r>
      <w:r>
        <w:t xml:space="preserve"> </w:t>
      </w:r>
      <w:hyperlink r:id="rId58">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numPr>
          <w:ilvl w:val="0"/>
          <w:numId w:val="1008"/>
        </w:numPr>
        <w:pStyle w:val="Compact"/>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59"/>
    <w:bookmarkStart w:id="60"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w:t>
      </w:r>
      <w:r>
        <w:t xml:space="preserve">common denominator</w:t>
      </w:r>
      <w:r>
        <w:t xml:space="preserve">’</w:t>
      </w:r>
      <w:r>
        <w:t xml:space="preserve"> </w:t>
      </w:r>
      <w:r>
        <w:t xml:space="preserve">that I was aiming for was not necessarily the</w:t>
      </w:r>
      <w:r>
        <w:t xml:space="preserve"> </w:t>
      </w:r>
      <w:r>
        <w:t xml:space="preserve">‘</w:t>
      </w:r>
      <w:r>
        <w:t xml:space="preserve">common denominator</w:t>
      </w:r>
      <w:r>
        <w:t xml:space="preserve">’</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w:t>
      </w:r>
      <w:r>
        <w:t xml:space="preserve">common denominator</w:t>
      </w:r>
      <w:r>
        <w:t xml:space="preserve">’</w:t>
      </w:r>
      <w:r>
        <w:t xml:space="preserve"> </w:t>
      </w:r>
      <w:r>
        <w:t xml:space="preserve">more clearly (as done here), and then implement this purely in Pandoc. From that basis I have then made attempts to map them to the various latex packages.</w:t>
      </w:r>
    </w:p>
    <w:bookmarkEnd w:id="60"/>
    <w:bookmarkStart w:id="62"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61">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7" Target="https://answers.microsoft.com/en-us/msoffice/forum/msoffice_word-mso_windows8-mso_2013_release/how-to-remove-extra-paragraph-after-table/995b3811-9f55-4df1-bbbc-9f672b1ad262" TargetMode="External" /><Relationship Type="http://schemas.openxmlformats.org/officeDocument/2006/relationships/hyperlink" Id="rId58"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7"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49" Target="https://github.com/cysouw/count-para" TargetMode="External" /><Relationship Type="http://schemas.openxmlformats.org/officeDocument/2006/relationships/hyperlink" Id="rId48" Target="https://github.com/cysouw/crossref-adapt" TargetMode="External" /><Relationship Type="http://schemas.openxmlformats.org/officeDocument/2006/relationships/hyperlink" Id="rId56"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1" Target="https://pandoc.org/MANUAL.html#metadata-blocks" TargetMode="External" /><Relationship Type="http://schemas.openxmlformats.org/officeDocument/2006/relationships/hyperlink" Id="rId61" Target="https://pandoc.org/MANUAL.html#numbered-example-lists" TargetMode="External" /><Relationship Type="http://schemas.openxmlformats.org/officeDocument/2006/relationships/hyperlink" Id="rId20"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57" Target="https://answers.microsoft.com/en-us/msoffice/forum/msoffice_word-mso_windows8-mso_2013_release/how-to-remove-extra-paragraph-after-table/995b3811-9f55-4df1-bbbc-9f672b1ad262" TargetMode="External" /><Relationship Type="http://schemas.openxmlformats.org/officeDocument/2006/relationships/hyperlink" Id="rId58"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7"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49" Target="https://github.com/cysouw/count-para" TargetMode="External" /><Relationship Type="http://schemas.openxmlformats.org/officeDocument/2006/relationships/hyperlink" Id="rId48" Target="https://github.com/cysouw/crossref-adapt" TargetMode="External" /><Relationship Type="http://schemas.openxmlformats.org/officeDocument/2006/relationships/hyperlink" Id="rId56"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1" Target="https://pandoc.org/MANUAL.html#metadata-blocks" TargetMode="External" /><Relationship Type="http://schemas.openxmlformats.org/officeDocument/2006/relationships/hyperlink" Id="rId61" Target="https://pandoc.org/MANUAL.html#numbered-example-lists" TargetMode="External" /><Relationship Type="http://schemas.openxmlformats.org/officeDocument/2006/relationships/hyperlink" Id="rId20"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2022-10-07T12:00:31Z</dcterms:created>
  <dcterms:modified xsi:type="dcterms:W3CDTF">2022-10-07T12:00:31Z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