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bookmarkEnd w:id="21"/>
    <w:bookmarkStart w:id="24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3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out to get an idea of the strengths and</w:t>
      </w:r>
      <w:r>
        <w:t xml:space="preserve"> </w:t>
      </w:r>
      <w:r>
        <w:t xml:space="preserve">weaknesses of this approach).</w:t>
      </w:r>
    </w:p>
    <w:bookmarkEnd w:id="24"/>
    <w:bookmarkStart w:id="26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</w:t>
      </w:r>
    </w:p>
    <w:bookmarkEnd w:id="26"/>
    <w:bookmarkStart w:id="53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4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7" w:name="ling-ex:4.1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7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attribute implemented (</w:t>
      </w:r>
      <w:r>
        <w:rPr>
          <w:rStyle w:val="VerbatimChar"/>
        </w:rPr>
        <w:t xml:space="preserve">formatGloss</w:t>
      </w:r>
      <w:r>
        <w:t xml:space="preserve">), but</w:t>
      </w:r>
      <w:r>
        <w:t xml:space="preserve"> </w:t>
      </w:r>
      <w:r>
        <w:t xml:space="preserve">in principle it is possible to add more attributes that can be used to</w:t>
      </w:r>
      <w:r>
        <w:t xml:space="preserve"> </w:t>
      </w:r>
      <w:r>
        <w:t xml:space="preserve">fine-tune the typesetting of the example.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28" w:name="id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28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29" w:name="ling-ex:4.3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29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0" w:name="ling-ex:4.4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0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1" w:name="ling-ex:4.5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1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2" w:name="ling-ex:4.6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2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3" w:name="ling-ex:4.7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3"/>
    <w:bookmarkEnd w:id="34"/>
    <w:bookmarkStart w:id="39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5" w:name="ling-ex:4.8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5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6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7" w:name="ling-ex:4.9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7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^^:-)^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38" w:name="ling-ex:4.10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:-)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bookmarkEnd w:id="39"/>
    <w:bookmarkStart w:id="41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</w:t>
      </w:r>
      <w:r>
        <w:t xml:space="preserve"> </w:t>
      </w:r>
      <w:r>
        <w:t xml:space="preserve">(used by Pandoc for citations). When an example has an explicit</w:t>
      </w:r>
      <w:r>
        <w:t xml:space="preserve"> </w:t>
      </w:r>
      <w:r>
        <w:t xml:space="preserve">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 can be</w:t>
      </w:r>
      <w:r>
        <w:t xml:space="preserve"> </w:t>
      </w:r>
      <w:r>
        <w:t xml:space="preserve">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 </w:t>
      </w:r>
      <w:r>
        <w:t xml:space="preserve">when formatted.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0" w:name="test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0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(4.11)</w:t>
        </w:r>
      </w:hyperlink>
      <w:r>
        <w:t xml:space="preserve">. By doubling the capitals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 number of</w:t>
      </w:r>
      <w:r>
        <w:t xml:space="preserve"> </w:t>
      </w:r>
      <w:r>
        <w:t xml:space="preserve">starting capitals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 something</w:t>
      </w:r>
      <w:r>
        <w:t xml:space="preserve"> </w:t>
      </w:r>
      <w:r>
        <w:t xml:space="preserve">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ling-ex:4.4">
        <w:r>
          <w:rPr>
            <w:rStyle w:val="Hyperlink"/>
          </w:rPr>
          <w:t xml:space="preserve">(4.4)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last-but-one example. Formatted this will look like this:</w:t>
      </w:r>
      <w:r>
        <w:t xml:space="preserve"> </w:t>
      </w:r>
      <w:hyperlink w:anchor="ling-ex:4.10">
        <w:r>
          <w:rPr>
            <w:rStyle w:val="Hyperlink"/>
          </w:rPr>
          <w:t xml:space="preserve">(4.10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ling-ex:4.10">
        <w:r>
          <w:rPr>
            <w:rStyle w:val="Hyperlink"/>
          </w:rPr>
          <w:t xml:space="preserve">(4.10 Ha1l0)</w:t>
        </w:r>
      </w:hyperlink>
      <w:r>
        <w:t xml:space="preserve"> </w:t>
      </w:r>
      <w:r>
        <w:t xml:space="preserve">when formatted (which is of course nonsensical).</w:t>
      </w:r>
    </w:p>
    <w:bookmarkEnd w:id="41"/>
    <w:bookmarkStart w:id="46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3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2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options, but I personally like a</w:t>
      </w:r>
      <w:r>
        <w:t xml:space="preserve"> </w:t>
      </w:r>
      <w:r>
        <w:t xml:space="preserve">‘</w:t>
      </w:r>
      <w:r>
        <w:t xml:space="preserve">thin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U+2009</w:t>
      </w:r>
      <w:r>
        <w:t xml:space="preserve">), but symbol does not work</w:t>
      </w:r>
      <w:r>
        <w:t xml:space="preserve"> </w:t>
      </w:r>
      <w:r>
        <w:t xml:space="preserve">with many fonts, and might lead to errors. For Latex typesetting,</w:t>
      </w:r>
      <w:r>
        <w:t xml:space="preserve"> </w:t>
      </w:r>
      <w:r>
        <w:t xml:space="preserve">all space-like symbols are converted to a Latex 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 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</w:t>
      </w:r>
      <w:r>
        <w:t xml:space="preserve"> </w:t>
      </w:r>
      <w:r>
        <w:t xml:space="preserve">setting will restart the counting at the highest heading level,</w:t>
      </w:r>
      <w:r>
        <w:t xml:space="preserve"> </w:t>
      </w:r>
      <w:r>
        <w:t xml:space="preserve">which for various output formats can 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 Depending on your Latex setup, an explicit</w:t>
      </w:r>
      <w:r>
        <w:t xml:space="preserve"> </w:t>
      </w:r>
      <w:r>
        <w:t xml:space="preserve">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In most formats this automatically implies</w:t>
      </w:r>
      <w:r>
        <w:t xml:space="preserve"> </w:t>
      </w:r>
      <w:r>
        <w:rPr>
          <w:rStyle w:val="VerbatimChar"/>
        </w:rPr>
        <w:t xml:space="preserve">restartAtChapter: true</w:t>
      </w:r>
      <w:r>
        <w:t xml:space="preserve">. In most Latex situations this only works</w:t>
      </w:r>
      <w:r>
        <w:t xml:space="preserve"> </w:t>
      </w:r>
      <w:r>
        <w:t xml:space="preserve">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and then typeset. Using the direct option insider Pandoc</w:t>
      </w:r>
      <w:r>
        <w:t xml:space="preserve"> </w:t>
      </w:r>
      <w:r>
        <w:t xml:space="preserve">might also work in many situations.</w:t>
      </w:r>
    </w:p>
    <w:bookmarkEnd w:id="43"/>
    <w:bookmarkStart w:id="45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$$\sum_{x=1}^{n}{x}=\frac{x^2-x}{2}$$</w:t>
      </w:r>
      <w:r>
        <w:br/>
      </w:r>
      <w:r>
        <w:rPr>
          <w:rStyle w:val="VerbatimChar"/>
        </w:rPr>
        <w:t xml:space="preserve">:::</w:t>
      </w:r>
    </w:p>
    <w:bookmarkStart w:id="44" w:name="ling-ex:4.12"/>
    <w:tbl>
      <w:tblPr>
        <w:tblStyle w:val="Table"/>
        <w:tblW w:type="pct" w:w="0.0"/>
        <w:tblLook w:firstRow="0" w:lastRow="0" w:firstColumn="0" w:lastColumn="0" w:noHBand="0" w:noVBand="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x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x</m:t>
                    </m:r>
                  </m:e>
                </m:nary>
                <m: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44"/>
    <w:bookmarkEnd w:id="45"/>
    <w:bookmarkEnd w:id="46"/>
    <w:bookmarkStart w:id="50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7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7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Further,</w:t>
      </w:r>
      <w:r>
        <w:t xml:space="preserve"> </w:t>
      </w:r>
      <w:hyperlink r:id="rId47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another Pandoc extension for numbering figures and other captions,</w:t>
      </w:r>
      <w:r>
        <w:t xml:space="preserve"> </w:t>
      </w:r>
      <w:r>
        <w:t xml:space="preserve">also uses the same system. From experience, it seems safer to put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 </w:t>
      </w:r>
      <w:r>
        <w:rPr>
          <w:b/>
        </w:rPr>
        <w:t xml:space="preserve">before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in the order of</w:t>
      </w:r>
      <w:r>
        <w:t xml:space="preserve"> </w:t>
      </w:r>
      <w:r>
        <w:t xml:space="preserve">processing (though I have no idea why).</w:t>
      </w:r>
    </w:p>
    <w:p>
      <w:pPr>
        <w:numPr>
          <w:ilvl w:val="0"/>
          <w:numId w:val="1007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7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examples. This is</w:t>
      </w:r>
      <w:r>
        <w:t xml:space="preserve"> </w:t>
      </w:r>
      <w:hyperlink r:id="rId48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7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49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bookmarkEnd w:id="50"/>
    <w:bookmarkStart w:id="51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1"/>
    <w:bookmarkStart w:id="52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linguistic-example-...</w:t>
      </w:r>
      <w:r>
        <w:t xml:space="preserve">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48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9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47" Target="https://github.com/lierdakil/pandoc-crossref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49" Target="https://ctan.org/pkg/langsci?lang=en" TargetMode="External" /><Relationship Type="http://schemas.openxmlformats.org/officeDocument/2006/relationships/hyperlink" Id="rId23" Target="https://daringfireball.net/projects/markdown/syntax" TargetMode="External" /><Relationship Type="http://schemas.openxmlformats.org/officeDocument/2006/relationships/hyperlink" Id="rId47" Target="https://github.com/lierdakil/pandoc-crossref" TargetMode="External" /><Relationship Type="http://schemas.openxmlformats.org/officeDocument/2006/relationships/hyperlink" Id="rId36" Target="https://iamvdo.me/en/blog/css-font-metrics-line-height-and-vertical-align" TargetMode="External" /><Relationship Type="http://schemas.openxmlformats.org/officeDocument/2006/relationships/hyperlink" Id="rId22" Target="https://pandoc.org" TargetMode="External" /><Relationship Type="http://schemas.openxmlformats.org/officeDocument/2006/relationships/hyperlink" Id="rId42" Target="https://pandoc.org/MANUAL.html#metadata-block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2021-01-07T22:12:01Z</dcterms:created>
  <dcterms:modified xsi:type="dcterms:W3CDTF">2021-01-07T22:12:01Z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latexPackage">
    <vt:lpwstr>linguex</vt:lpwstr>
  </property>
</Properties>
</file>