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 link</w:t>
        </w:r>
      </w:hyperlink>
      <w:r>
        <w:t xml:space="preserve">). The id in this</w:t>
      </w:r>
      <w:r>
        <w:t xml:space="preserve"> </w:t>
      </w:r>
      <w:r>
        <w:t xml:space="preserve">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 conversion I have</w:t>
      </w:r>
      <w:r>
        <w:t xml:space="preserve"> </w:t>
      </w:r>
      <w:r>
        <w:t xml:space="preserve">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 when numbers restart</w:t>
      </w:r>
      <w:r>
        <w:t xml:space="preserve"> </w:t>
      </w:r>
      <w:r>
        <w:t xml:space="preserve">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</w:t>
      </w:r>
      <w:r>
        <w:t xml:space="preserve"> </w:t>
      </w:r>
      <w:r>
        <w:t xml:space="preserve">id is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. This is necessary to resolve</w:t>
      </w:r>
      <w:r>
        <w:t xml:space="preserve"> </w:t>
      </w:r>
      <w:r>
        <w:t xml:space="preserve">clashing ids, as the same number might then be used in different</w:t>
      </w:r>
      <w:r>
        <w:t xml:space="preserve"> </w:t>
      </w:r>
      <w:r>
        <w:t xml:space="preserve">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2021: #ex7),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 </w:t>
      </w:r>
      <w:r>
        <w:t xml:space="preserve">(see the Pandoc filter</w:t>
      </w:r>
      <w:r>
        <w:t xml:space="preserve"> </w:t>
      </w:r>
      <w:hyperlink r:id="rId46">
        <w:r>
          <w:rPr>
            <w:rStyle w:val="VerbatimChar"/>
          </w:rPr>
          <w:t xml:space="preserve">crossref-adapt](https://github.com/cysouw/crossref-adapt)). To refer to paragraphs (which should replace page numbers in a future of adaptive design), I propose to use no tag, but directly add the number to the hash (see the Pandoc filter [</w:t>
        </w:r>
        <w:r>
          <w:rPr>
            <w:rStyle w:val="Hyperlink"/>
          </w:rPr>
          <w:t xml:space="preserve">count-para`</w:t>
        </w:r>
      </w:hyperlink>
      <w:r>
        <w:t xml:space="preserve"> </w:t>
      </w:r>
      <w:r>
        <w:t xml:space="preserve">for a 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. This means that an example can be directly referred</w:t>
      </w:r>
      <w:r>
        <w:t xml:space="preserve"> </w:t>
      </w:r>
      <w:r>
        <w:t xml:space="preserve">to in web-links by using the hash-mechanism. For example, adding</w:t>
      </w:r>
      <w:r>
        <w:t xml:space="preserve"> </w:t>
      </w:r>
      <w:r>
        <w:rPr>
          <w:rStyle w:val="VerbatimChar"/>
        </w:rPr>
        <w:t xml:space="preserve">#ex3</w:t>
      </w:r>
      <w:r>
        <w:t xml:space="preserve"> </w:t>
      </w:r>
      <w:r>
        <w:t xml:space="preserve">to the end of a link will immediately jump to this 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readme.html" TargetMode="External" /><Relationship Type="http://schemas.openxmlformats.org/officeDocument/2006/relationships/hyperlink" Id="rId45" Target="https://cysouw.github.io/readme.html#ex4.7" TargetMode="External" /><Relationship Type="http://schemas.openxmlformats.org/officeDocument/2006/relationships/hyperlink" Id="rId22" Target="https://cysouw.github.io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readme.html" TargetMode="External" /><Relationship Type="http://schemas.openxmlformats.org/officeDocument/2006/relationships/hyperlink" Id="rId45" Target="https://cysouw.github.io/readme.html#ex4.7" TargetMode="External" /><Relationship Type="http://schemas.openxmlformats.org/officeDocument/2006/relationships/hyperlink" Id="rId22" Target="https://cysouw.github.io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2021-03-29T19:14:54Z</dcterms:created>
  <dcterms:modified xsi:type="dcterms:W3CDTF">2021-03-29T19:14:54Z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