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CableTrayAI S2 方钢托臂规则确认清单</w:t>
      </w:r>
    </w:p>
    <w:p>
      <w:pPr>
        <w:spacing w:after="80"/>
      </w:pPr>
      <w:r>
        <w:t>生成时间：2026-05-27 18:29:29</w:t>
      </w:r>
    </w:p>
    <w:p>
      <w:pPr>
        <w:spacing w:after="80"/>
      </w:pPr>
      <w:r>
        <w:t>用途：给科室审核建模、计算、结果提取、评定和报告注入逻辑。正式结论仍以 ANSYS 输出、Excel/确定性公式和 source_ref 为准；大模型只做解释、质控和修复建议。</w:t>
      </w:r>
    </w:p>
    <w:p>
      <w:pPr>
        <w:spacing w:after="80"/>
      </w:pPr>
      <w:r>
        <w:t>来源：用户批注版 S2_RULE_CONFIRMATION_CHECKLIST.docx、新版“电缆桥架--.xlsx”、source_materials 中标准命令流/PIP/MAC/SECT、既有报告和真实 ANSYS 输出。</w:t>
      </w:r>
    </w:p>
    <w:p>
      <w:pPr>
        <w:spacing w:after="80"/>
      </w:pPr>
      <w:r>
        <w:t>0. 大白话术语表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名称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大白话解释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主要用途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出问题说明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MAXBEAMSTRESS.LIS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支架/方钢梁单元应力结果文件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表6-1 支架方钢应力评定：拉伸、压缩、弯曲、剪切、拉弯、压弯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缺失、全零或集合不对时，支架方钢评定不能出正式结论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TMAXBEAMSTRESS.LIS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托臂梁单元应力结果文件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托臂应力评定；小截面托臂根部焊缝等效应力表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小截面任务全零时，表6-2-1 和附录C不能通过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JCZH.LIS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支架基础载荷文件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表6-3/对应基础载荷：FX、FY、FZ、MY、MZ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UNKNOWN 节点、全零或少工况时，基础载荷表不能用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LS-FORCE.LIS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托盘与托臂连接螺栓载荷文件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连接螺栓载荷和螺栓应力评定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不能用接近报告的节点硬凑；必须来自固定点集合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HF-FORCE.LIS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大截面托臂根部焊缝受力文件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方钢外边长 &gt;120mm 时输出表6-2 和表6-3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小截面不强制依赖它，大截面缺失则阻断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Mode.oup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模态频率输出文件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附录A 模态频率；校核 MT 是否覆盖到 50Hz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最后一阶不超过 50Hz 时，需提高 MT 重跑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MOTAI-*.PNG/BMP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模态图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附录A 模态振型图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缺图时报告附录不完整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SQ-*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方钢应力云图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附录B 方钢应力图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缺失时附录B不完整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TB*/TD*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托臂应力云图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方钢外边长 &lt;=120mm 时附录C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该有没有、或不该有却输出，说明截面分支错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UNKNOWN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软件没识别出节点/关键点/集合名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正式表格中不得出现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必须回查建模集合、PIP后处理集合和 LIS 原始行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source_ref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每个数从哪里来的说明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追溯 Excel、LIS、命令流、规范或输入文件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没有 source_ref 的公式/数据不能作为正式结论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source_materials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原始资料库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标准命令流、PIP、MAC、SECT、Excel、PDF、DOCX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只读，不允许改；部署包必须包含必要最小标准命令流包</w:t>
            </w:r>
          </w:p>
        </w:tc>
      </w:tr>
    </w:tbl>
    <w:p/>
    <w:p>
      <w:pPr>
        <w:spacing w:after="80"/>
      </w:pPr>
      <w:r>
        <w:t>1. 提资解析规则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规则项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已确认规则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代码/审查要求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字段识别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自动识别提资中的主体字段，不按固定列号；I列/埋板列本质是方钢截面，但也必须按表头/内容自动识别。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intake_excel_reader/job_input_builder 必须支持不同表头命名。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报告号/计算批次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初版新提资可能没有报告号；有报告号显示报告号，没有则显示提资单号或临时批次，后续可补号替换。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不得要求用户手填行号才能解析。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层数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识别几层就建几层；例如 18185NI-LXSJ4140 是双侧2+2层，不得误判为3层。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解析结果写入 tray_load_mapping，并在网页显示。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三侧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提资出现三侧时先解析并提示，但生产计算暂阻断，输出“需要人工确认”的命令流，直到三侧标准命令流和后处理映射被审定。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禁止用单/双侧模板硬算三侧。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托盘载荷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解析托盘宽度、层数、托臂长度、等效密度；无法识别时提示人工复核。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不能全零或默认乱填。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高/低侧梆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没有动力电缆类型、且提资 Excel 未标明高低侧梆时，默认高侧梆。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默认值必须写入 audit。</w:t>
            </w:r>
          </w:p>
        </w:tc>
      </w:tr>
    </w:tbl>
    <w:p/>
    <w:p>
      <w:pPr>
        <w:spacing w:after="80"/>
      </w:pPr>
      <w:r>
        <w:t>2. 分析方法和反应谱规则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规则项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已确认规则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门禁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钢平台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只看是否明确为钢平台；钢平台采用静力法。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钢平台仍可需要谱文件，用于等效静力加速度。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非钢平台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未显示钢平台的 S2 支架采用反应谱法。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反应谱文件按项目选择，不能固定某个样例谱。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阻尼比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反应谱阻尼比采用 SL-1=7%，SL-2=10%。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选谱输出 spectrum_selection.json。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谱表匹配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按项目代号、厂房/谱表、标高、方向匹配；只看当前项目名称代号，不混用其他项目同名厂房。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缺谱或项目不匹配必须 fail。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标高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不采用历史报告中的多标高包络；使用当前提资标高。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若报告写了多标高但提资只给单标高，记录为历史报告/源文件冲突。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静力修正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paox/paoy/paoz/pasx/pasy/pasz 来自所选谱 100Hz 加速度，不取负号。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100Hz 不存在时提示/阻断；不得用负号。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载荷展示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基础载荷和连接螺栓载荷取绝对值后的包络值，报告表中不出现负号。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保留 raw 值和包络值来源。</w:t>
            </w:r>
          </w:p>
        </w:tc>
      </w:tr>
    </w:tbl>
    <w:p/>
    <w:p>
      <w:pPr>
        <w:spacing w:after="80"/>
      </w:pPr>
      <w:r>
        <w:t>3. APDL 命令流和 MT 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规则项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已确认规则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门禁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三份命令流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每个 job 输出 generated_model.mac、generated_solve.mac、generated_post.mac；run_all.mac 只按顺序调用三份命令。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便于科室按建模/计算/提取审核。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命令来源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必须基于标准命令流/PIP/MAC/SECT 参数化生成，不从零瞎写。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source_ref 记录源文件和规则。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MT 初值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有已审源命令流时优先保留源 MT；无源时按 MT=15*托盘总层数作为初值，可结合经验迭代。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MT 是求解前指定值，不能从 Mode.oup 倒推本次求解。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MT 覆盖校核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运行后读取 Mode.oup，最后一阶频率必须超过 50Hz。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未超过 50Hz 时门禁 fail，提高 MT 重跑。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静力修正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计算命令流中必须含静力修正过程，100Hz 加速度不取负号。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门禁扫描 paox/paoy/paoz/pasx/pasy/pasz。</w:t>
            </w:r>
          </w:p>
        </w:tc>
      </w:tr>
    </w:tbl>
    <w:p/>
    <w:p>
      <w:pPr>
        <w:spacing w:after="80"/>
      </w:pPr>
      <w:r>
        <w:t>4. 材料与许用应力规则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规则项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已确认规则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source_ref/门禁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默认材料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非钢平台默认 Q355；钢平台中只有方钢支架按 Q235 保守评定，其它构件按构件策略使用 Q355。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材料策略写入 material_policy_metadata。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Q355 许用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Q355 弯曲许用值 234.30 MPa，剪切 142 MPa，拉伸按新版 Excel 表。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电缆桥架--.xlsx:Q355。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Q235 许用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Q235 弯曲许用值 155.10 MPa，剪切 94 MPa，拉伸按新版 Excel 表。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电缆桥架--.xlsx:Q235。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压缩许用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A、I 来自“许用应力”表；L 来自当前方钢长度；计算 KL/R 和 Cc 后，KL/R&lt;Cc 用方程4，否则用方程5。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source_ref 必须含 A/I 单元格、L、KL/R、Cc、方程编号。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组合应力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拉弯组合、压弯组合的许用值均为 1。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按报告表约定输出 ratio sum。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Python/Excel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Python 复刻结果应与 Excel 权威结果一致；若冲突则 fail，不能强行通过。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Excel COM 不可用时，未确认公式不得自动 pass。</w:t>
            </w:r>
          </w:p>
        </w:tc>
      </w:tr>
    </w:tbl>
    <w:p/>
    <w:p>
      <w:pPr>
        <w:spacing w:after="80"/>
      </w:pPr>
      <w:r>
        <w:t>5. 方钢截面、焊缝和附录C分支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截面条件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应输出内容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不得输出/注意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方钢外边长 &lt;=120mm（含 120*120*6、120*120*8、120*120*10）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表6-2-1 托臂根部焊缝评定结果（应力比）；等效应力系数 0.526；附录C 托臂应力图 TB*/TD*。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不输出大截面用的表6-2 托臂根部所受载荷；不强制依赖 HF-FORCE.LIS。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方钢外边长 &gt;120mm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表6-2 托臂根部所受载荷；表6-3 托臂根部焊缝评定结果；附录C 焊缝评定原理。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不输出托臂云图；HF-FORCE.LIS 缺失则阻断。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提资缺方钢截面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试算候选 SECT，选择 ratio&lt;1 且最接近 1 的截面；若 100*100*6 已远小于1，也可选 100*100*6。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不能选 ratio=1 或 &gt;1；候选结果要给用户看。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待继续确认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小截面表6-2-1 是否需要组合项已被标注“需要组合项”，当前代码应保留组合项门禁。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如果科室确认表格项变化，需要同步修改 chapter6_display、template_injector 和 golden test。</w:t>
            </w:r>
          </w:p>
        </w:tc>
      </w:tr>
    </w:tbl>
    <w:p/>
    <w:p>
      <w:pPr>
        <w:spacing w:after="80"/>
      </w:pPr>
      <w:r>
        <w:t>6. 结果提取映射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结果类别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正式来源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必须检查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支架方钢应力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MAXBEAMSTRESS.LIS / SQUAREBEAMSTRESS.LIS 中支架方钢集合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不得与托臂 TMAX 混用；不能按“谁更接近报告”选择。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托臂应力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TMAXBEAMSTRESS.LIS 中托臂集合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全零时必须查集合、工况和 PIP 后处理命令。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基础载荷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JCZH.LIS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工况 DW、SL-1、SL-2；FX/FY/FZ/MY/MZ；不得出现 UNKNOWN。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连接螺栓载荷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LS-FORCE.LIS 中托盘与托臂固定点集合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UPSET/FAULTED 两工况；节点号/关键点必须可追溯。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大截面焊缝载荷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HF-FORCE.LIS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只用于 &gt;120mm 分支；缺失时不能填空白表。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模态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Mode.oup + MOTAI 图片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频率表和图均要提取；MT 覆盖 50Hz。</w:t>
            </w:r>
          </w:p>
        </w:tc>
      </w:tr>
    </w:tbl>
    <w:p/>
    <w:p>
      <w:pPr>
        <w:spacing w:after="80"/>
      </w:pPr>
      <w:r>
        <w:t>7. 报告注入规则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章节/图表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规则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门禁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表3-1 反应谱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按所选项目、厂房/谱表、标高替换表头和数据；不要只截取前几十行。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保持模板格式不变。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图5.1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S2 支架有限元模型图。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必须来自 ANSYS 输出或按已审集合导出，不用错误节点图替代。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图5.2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托臂有限元模型图。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必须与模板/报告结构一致。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第六章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表格标题、顺序、该有/不该有的表必须按截面分支和模板类型输出。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不得出现空白评定表或全零表作为正式结论。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附录A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模态频率和模态图。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缺图则报告 audit fail。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附录B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方钢应力图。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按 SQ 图输出。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附录C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&lt;=120mm 输出托臂应力图；&gt;120mm 输出焊缝评定原理。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两种模式不能混出。</w:t>
            </w:r>
          </w:p>
        </w:tc>
      </w:tr>
    </w:tbl>
    <w:p/>
    <w:p>
      <w:pPr>
        <w:spacing w:after="80"/>
      </w:pPr>
      <w:r>
        <w:t>8. AI 与部署边界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项目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规则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AI 角色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AI 做提资理解辅助、命令流模板编排建议、日志解释、异常质控和修复建议；正式计算仍由 ANSYS、Excel/确定性公式和 source_ref 决定。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大模型失败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不能因为大模型超时就假装通过；可以退回规则性质控，但页面必须说明审查来源。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部署包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必须包含必要最小标准命令流包，否则会出现 “No APDL/PIP model families found”。部署不能修改 source_materials 原件。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内网访问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非白名单 IP 不进入平台，应提示“请联系管理员-duxyb”。</w:t>
            </w:r>
          </w:p>
        </w:tc>
      </w:tr>
    </w:tbl>
    <w:p/>
    <w:p>
      <w:pPr>
        <w:spacing w:after="80"/>
      </w:pPr>
      <w:r>
        <w:t>9. 当前仍需科室确认的问题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编号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问题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/>
                <w:b/>
                <w:sz w:val="18"/>
              </w:rPr>
              <w:t>当前处理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Q1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MT 初值是否仅按 15*层数，还是还需按托盘长度、支架高度、单/双侧分档？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当前无源时按 15*层数；运行后用 50Hz 门禁校核。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Q2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小截面表6-2-1 的组合项最终格式。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按批注“需要组合项”保留组合项。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Q3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三侧 S2 是否允许由参数化模板直接计算。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当前解析但阻断生产计算，需三侧标准命令流/后处理集合审定。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Q4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历史报告若与标准命令流/提资/谱选择冲突，是否作为报告问题单独留存。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当前不硬凑，记录冲突，不作为新提资生产逻辑依据。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Q5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图5.1/图5.2 的 ANSYS 输出视角和集合命名是否需统一模板。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>
              <w:rPr>
                <w:rFonts w:ascii="Microsoft YaHei" w:hAnsi="Microsoft YaHei"/>
                <w:sz w:val="18"/>
              </w:rPr>
              <w:t>应按模板图号和对应集合导出，缺失时报告 audit fail。</w:t>
            </w:r>
          </w:p>
        </w:tc>
      </w:tr>
    </w:tbl>
    <w:p/>
    <w:sectPr w:rsidR="00FC693F" w:rsidRPr="0006063C" w:rsidSect="00034616">
      <w:pgSz w:w="12240" w:h="15840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