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footer1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document.xml" ContentType="application/vnd.openxmlformats-officedocument.wordprocessingml.document.main+xml"/>
  <Override PartName="/word/header10.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oter8.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numbering.xml" ContentType="application/vnd.openxmlformats-officedocument.wordprocessingml.numbering+xml"/>
  <Override PartName="/word/footer9.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96" w:type="dxa"/>
        <w:jc w:val="start"/>
        <w:tblInd w:w="1668" w:type="dxa"/>
        <w:tblLayout w:type="fixed"/>
        <w:tblCellMar>
          <w:top w:w="28" w:type="dxa"/>
          <w:start w:w="108" w:type="dxa"/>
          <w:bottom w:w="0" w:type="dxa"/>
          <w:end w:w="108" w:type="dxa"/>
        </w:tblCellMar>
        <w:tblLook w:noHBand="0" w:noVBand="1" w:firstColumn="1" w:lastRow="0" w:lastColumn="0" w:firstRow="1" w:val="04a0"/>
      </w:tblPr>
      <w:tblGrid>
        <w:gridCol w:w="2345"/>
        <w:gridCol w:w="236"/>
        <w:gridCol w:w="5215"/>
      </w:tblGrid>
      <w:tr>
        <w:trPr/>
        <w:tc>
          <w:tcPr>
            <w:tcW w:w="2345" w:type="dxa"/>
            <w:tcBorders>
              <w:top w:val="nil"/>
              <w:start w:val="nil"/>
              <w:bottom w:val="nil"/>
              <w:end w:val="nil"/>
            </w:tcBorders>
          </w:tcPr>
          <w:p>
            <w:pPr>
              <w:pStyle w:val="Normal"/>
              <w:widowControl/>
              <w:spacing w:lineRule="auto" w:line="240" w:before="0" w:after="0"/>
              <w:jc w:val="start"/>
              <w:rPr>
                <w:rFonts w:cs="Calibri" w:cstheme="minorHAnsi"/>
                <w:i/>
                <w:color w:val="D60093"/>
                <w:sz w:val="24"/>
                <w:szCs w:val="24"/>
              </w:rPr>
            </w:pPr>
            <w:r>
              <w:rPr>
                <w:rFonts w:eastAsia="Calibri" w:cs="Calibri" w:cstheme="minorHAnsi"/>
                <w:i/>
                <w:color w:val="D60093"/>
                <w:kern w:val="0"/>
                <w:sz w:val="24"/>
                <w:szCs w:val="24"/>
                <w:lang w:val="fr-FR" w:eastAsia="en-US" w:bidi="ar-SA"/>
              </w:rPr>
            </w:r>
          </w:p>
        </w:tc>
        <w:tc>
          <w:tcPr>
            <w:tcW w:w="236"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Nom naissance"/>
                <w:tag w:val="Nom naissance"/>
                <w:id w:val="423775582"/>
                <w:placeholder>
                  <w:docPart w:val="D552A71AF2B2467AA62E2628BBD935C4"/>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d’usage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Nom d'usage"/>
                <w:tag w:val="Nom d'usage"/>
                <w:id w:val="466088377"/>
                <w:placeholder>
                  <w:docPart w:val="858A3C3711734741B0C36646E3E36B3B"/>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Prénom"/>
                <w:tag w:val="Prénom"/>
                <w:id w:val="966778718"/>
                <w:placeholder>
                  <w:docPart w:val="E233C1B997304BB98D02CDBB35ACD1F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Christophe</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vMerge w:val="restart"/>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Adresse"/>
                <w:tag w:val="Adresse"/>
                <w:id w:val="-1351406819"/>
                <w:placeholder>
                  <w:docPart w:val="7E314413454C4D9885B239A9C6BB8220"/>
                </w:placeholder>
                <w:text/>
              </w:sdtPr>
              <w:sdtContent>
                <w:r>
                  <w:rPr>
                    <w:rFonts w:eastAsia="Calibri" w:cs=""/>
                    <w:kern w:val="0"/>
                    <w:sz w:val="22"/>
                    <w:szCs w:val="22"/>
                    <w:lang w:val="fr-FR" w:eastAsia="en-US" w:bidi="ar-SA"/>
                  </w:rPr>
                </w:r>
                <w:r>
                  <w:rPr>
                    <w:rFonts w:eastAsia="Calibri" w:cs=""/>
                    <w:kern w:val="0"/>
                    <w:sz w:val="22"/>
                    <w:szCs w:val="22"/>
                    <w:lang w:val="fr-FR" w:eastAsia="en-US" w:bidi="ar-SA"/>
                  </w:rPr>
                  <w:t>76510 Notre-Dame d'Aliermont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sz w:val="24"/>
                <w:szCs w:val="24"/>
              </w:rPr>
            </w:pPr>
            <w:r>
              <w:rPr>
                <w:rFonts w:eastAsia="Calibri" w:cs="Calibri" w:cstheme="minorHAnsi"/>
                <w:i/>
                <w:color w:val="D60093"/>
                <w:kern w:val="0"/>
                <w:sz w:val="24"/>
                <w:szCs w:val="24"/>
                <w:lang w:val="fr-FR" w:eastAsia="en-US" w:bidi="ar-SA"/>
              </w:rPr>
            </w:r>
          </w:p>
        </w:tc>
        <w:tc>
          <w:tcPr>
            <w:tcW w:w="236" w:type="dxa"/>
            <w:tcBorders>
              <w:top w:val="nil"/>
              <w:start w:val="nil"/>
              <w:bottom w:val="nil"/>
              <w:end w:val="nil"/>
            </w:tcBorders>
            <w:vAlign w:val="center"/>
          </w:tcPr>
          <w:p>
            <w:pPr>
              <w:pStyle w:val="Normal"/>
              <w:widowControl/>
              <w:spacing w:lineRule="auto" w:line="240" w:before="0" w:after="0"/>
              <w:ind w:start="-42"/>
              <w:jc w:val="start"/>
              <w:rPr>
                <w:rFonts w:ascii="Wingdings 3" w:hAnsi="Wingdings 3" w:cs="Calibri" w:cstheme="minorHAnsi"/>
                <w:color w:val="D60093"/>
                <w:sz w:val="12"/>
                <w:szCs w:val="12"/>
                <w:lang w:eastAsia="fr-FR"/>
              </w:rPr>
            </w:pPr>
            <w:r>
              <w:rPr>
                <w:rFonts w:eastAsia="Calibri" w:cs="Calibri" w:cstheme="minorHAnsi" w:ascii="Wingdings 3" w:hAnsi="Wingdings 3"/>
                <w:color w:val="D60093"/>
                <w:kern w:val="0"/>
                <w:sz w:val="12"/>
                <w:szCs w:val="12"/>
                <w:lang w:val="fr-FR" w:eastAsia="fr-FR" w:bidi="ar-SA"/>
              </w:rPr>
            </w:r>
          </w:p>
        </w:tc>
        <w:tc>
          <w:tcPr>
            <w:tcW w:w="5215" w:type="dxa"/>
            <w:vMerge w:val="continue"/>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pacing w:lineRule="auto" w:line="240" w:before="0" w:after="0"/>
              <w:jc w:val="center"/>
              <w:rPr>
                <w:rFonts w:cs="Calibri" w:cstheme="minorHAnsi"/>
                <w:b/>
                <w:color w:themeColor="text1" w:themeTint="bf" w:val="404040"/>
                <w:sz w:val="32"/>
                <w:szCs w:val="32"/>
              </w:rPr>
            </w:pPr>
            <w:sdt>
              <w:sdtPr>
                <w:alias w:val="Titre pro"/>
                <w:tag w:val="Titre pro"/>
                <w:id w:val="-837616293"/>
                <w:placeholder>
                  <w:docPart w:val="2535ABE7E1F24C28B2DC27BDE0D19C68"/>
                </w:placeholder>
                <w:text/>
              </w:sdtPr>
              <w:sdtContent>
                <w:r>
                  <w:rPr>
                    <w:rFonts w:eastAsia="Calibri" w:cs="Calibri" w:cstheme="minorHAnsi"/>
                    <w:color w:themeColor="text1" w:themeTint="bf" w:val="404040"/>
                    <w:kern w:val="0"/>
                    <w:sz w:val="32"/>
                    <w:szCs w:val="32"/>
                    <w:lang w:val="fr-FR" w:eastAsia="fr-FR" w:bidi="ar-SA"/>
                  </w:rPr>
                </w:r>
                <w:r>
                  <w:rPr>
                    <w:rFonts w:eastAsia="Calibri" w:cs="Calibri" w:cstheme="minorHAnsi"/>
                    <w:color w:themeColor="text1" w:themeTint="bf" w:val="404040"/>
                    <w:kern w:val="0"/>
                    <w:sz w:val="32"/>
                    <w:szCs w:val="32"/>
                    <w:lang w:val="fr-FR" w:eastAsia="fr-FR" w:bidi="ar-SA"/>
                  </w:rPr>
                  <w:t>Concepteur Développeur d’Applications</w:t>
                </w:r>
              </w:sdtContent>
            </w:sdt>
          </w:p>
        </w:tc>
      </w:tr>
      <w:tr>
        <w:trPr>
          <w:trHeight w:val="1417" w:hRule="atLeast"/>
        </w:trPr>
        <w:tc>
          <w:tcPr>
            <w:tcW w:w="9782" w:type="dxa"/>
            <w:gridSpan w:val="2"/>
            <w:tcBorders>
              <w:top w:val="single" w:sz="12" w:space="0" w:color="D60093"/>
              <w:start w:val="nil"/>
              <w:bottom w:val="single" w:sz="4" w:space="0" w:color="D9D9D9"/>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c>
          <w:tcPr>
            <w:tcW w:w="754" w:type="dxa"/>
            <w:tcBorders>
              <w:top w:val="nil"/>
              <w:start w:val="single" w:sz="4" w:space="0" w:color="D9D9D9"/>
              <w:bottom w:val="nil"/>
              <w:end w:val="nil"/>
            </w:tcBorders>
            <w:vAlign w:val="center"/>
          </w:tcPr>
          <w:sdt>
            <w:sdtPr>
              <w:alias w:val="VAE"/>
              <w:tag w:val="VAE"/>
              <w:id w:val="976025978"/>
              <w14:checkbox>
                <w14:checked w:val="1"/>
                <w14:checkedState w:val="2612"/>
                <w14:uncheckedState w:val="2610"/>
              </w14:checkbox>
            </w:sdtPr>
            <w:sdtContent>
              <w:p>
                <w:pPr>
                  <w:pStyle w:val="Normal"/>
                  <w:widowControl/>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0"/>
                <w14:checkedState w:val="2612"/>
                <w14:uncheckedState w:val="2610"/>
              </w14:checkbox>
            </w:sdtPr>
            <w:sdtContent>
              <w:p>
                <w:pPr>
                  <w:pStyle w:val="Normal"/>
                  <w:widowControl/>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pacing w:lineRule="auto" w:line="240" w:before="0" w:after="0"/>
              <w:jc w:val="start"/>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spacing w:before="0" w:after="200"/>
        <w:rPr>
          <w:rFonts w:cs="Calibri" w:cstheme="minorHAnsi"/>
          <w:b/>
          <w:color w:themeColor="text1" w:themeTint="bf" w:val="404040"/>
          <w:sz w:val="28"/>
          <w:szCs w:val="28"/>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5"/>
        <w:gridCol w:w="2836"/>
        <w:gridCol w:w="6128"/>
        <w:gridCol w:w="393"/>
      </w:tblGrid>
      <w:tr>
        <w:trPr/>
        <w:tc>
          <w:tcPr>
            <w:tcW w:w="9782" w:type="dxa"/>
            <w:gridSpan w:val="4"/>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425" w:type="dxa"/>
            <w:tcBorders>
              <w:top w:val="nil"/>
              <w:start w:val="single" w:sz="4" w:space="0" w:color="D9D9D9"/>
              <w:bottom w:val="nil"/>
              <w:end w:val="nil"/>
            </w:tcBorders>
            <w:shd w:color="auto" w:fill="auto" w:val="clear"/>
            <w:vAlign w:val="center"/>
          </w:tcPr>
          <w:p>
            <w:pPr>
              <w:pStyle w:val="Normal"/>
              <w:widowControl/>
              <w:spacing w:lineRule="auto" w:line="240" w:before="0" w:after="120"/>
              <w:jc w:val="start"/>
              <w:rPr>
                <w:rFonts w:cs="Calibri" w:cstheme="minorHAnsi"/>
                <w:color w:themeColor="text1" w:themeTint="bf" w:val="404040"/>
              </w:rPr>
            </w:pPr>
            <w:r>
              <w:rPr>
                <w:rFonts w:eastAsia="Calibri"/>
                <w:kern w:val="0"/>
                <w:sz w:val="22"/>
                <w:szCs w:val="22"/>
                <w:lang w:val="fr-FR" w:eastAsia="en-US" w:bidi="ar-SA"/>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3" w:type="dxa"/>
            <w:tcBorders>
              <w:top w:val="nil"/>
              <w:start w:val="nil"/>
              <w:bottom w:val="nil"/>
              <w:end w:val="single" w:sz="4" w:space="0" w:color="D9D9D9"/>
            </w:tcBorders>
            <w:shd w:color="auto" w:fill="auto" w:val="clear"/>
            <w:vAlign w:val="center"/>
          </w:tcPr>
          <w:p>
            <w:pPr>
              <w:pStyle w:val="Normal"/>
              <w:widowControl w:val="fals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120"/>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pacing w:lineRule="auto" w:line="240" w:before="0" w:after="0"/>
              <w:ind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p>
            <w:pPr>
              <w:pStyle w:val="Normal"/>
              <w:widowControl/>
              <w:tabs>
                <w:tab w:val="clear" w:pos="709"/>
                <w:tab w:val="left" w:pos="850" w:leader="none"/>
              </w:tabs>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ascii="Calibri" w:hAnsi="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default" r:id="rId12"/>
          <w:footerReference w:type="first" r:id="rId13"/>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83"/>
        <w:gridCol w:w="8080"/>
        <w:gridCol w:w="427"/>
        <w:gridCol w:w="992"/>
      </w:tblGrid>
      <w:tr>
        <w:trPr/>
        <w:tc>
          <w:tcPr>
            <w:tcW w:w="9782" w:type="dxa"/>
            <w:gridSpan w:val="4"/>
            <w:tcBorders>
              <w:top w:val="nil"/>
              <w:start w:val="nil"/>
              <w:bottom w:val="single" w:sz="24" w:space="0" w:color="D60093"/>
              <w:end w:val="nil"/>
            </w:tcBorders>
          </w:tcPr>
          <w:p>
            <w:pPr>
              <w:pStyle w:val="Normal"/>
              <w:widowControl/>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4"/>
            <w:tcBorders>
              <w:top w:val="single"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rHeight w:val="283" w:hRule="atLeast"/>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single" w:sz="4" w:space="0" w:color="FFFFFF"/>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rHeight w:val="170" w:hRule="atLeast"/>
        </w:trPr>
        <w:tc>
          <w:tcPr>
            <w:tcW w:w="283" w:type="dxa"/>
            <w:tcBorders>
              <w:top w:val="nil"/>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val="D60093"/>
                <w:sz w:val="12"/>
                <w:szCs w:val="12"/>
                <w:lang w:eastAsia="fr-FR"/>
              </w:rPr>
            </w:pPr>
            <w:r>
              <w:rPr>
                <w:rFonts w:eastAsia="Calibri" w:cs="Calibri" w:cstheme="minorHAnsi"/>
                <w:color w:val="D60093"/>
                <w:kern w:val="0"/>
                <w:sz w:val="12"/>
                <w:szCs w:val="12"/>
                <w:lang w:val="fr-FR" w:eastAsia="fr-FR" w:bidi="ar-SA"/>
              </w:rPr>
            </w:r>
          </w:p>
        </w:tc>
        <w:tc>
          <w:tcPr>
            <w:tcW w:w="8080" w:type="dxa"/>
            <w:tcBorders>
              <w:top w:val="nil"/>
              <w:start w:val="nil"/>
              <w:bottom w:val="nil"/>
              <w:end w:val="nil"/>
            </w:tcBorders>
          </w:tcPr>
          <w:p>
            <w:pPr>
              <w:pStyle w:val="Normal"/>
              <w:widowControl/>
              <w:tabs>
                <w:tab w:val="clear" w:pos="709"/>
                <w:tab w:val="left" w:pos="34" w:leader="none"/>
                <w:tab w:val="left" w:pos="3522"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spacing w:lineRule="auto" w:line="240" w:before="0" w:after="0"/>
              <w:jc w:val="start"/>
              <w:rPr>
                <w:rFonts w:cs="Calibri" w:cstheme="minorHAnsi"/>
                <w:color w:themeColor="text1" w:themeTint="bf" w:val="404040"/>
                <w:sz w:val="12"/>
                <w:szCs w:val="12"/>
                <w:lang w:eastAsia="fr-FR"/>
              </w:rPr>
            </w:pPr>
            <w:r>
              <w:rPr>
                <w:rFonts w:eastAsia="Calibri" w:cs="Calibri" w:cstheme="minorHAnsi"/>
                <w:color w:themeColor="text1" w:themeTint="bf" w:val="404040"/>
                <w:kern w:val="0"/>
                <w:sz w:val="12"/>
                <w:szCs w:val="12"/>
                <w:lang w:val="fr-FR" w:eastAsia="fr-FR" w:bidi="ar-SA"/>
              </w:rPr>
            </w:r>
          </w:p>
        </w:tc>
      </w:tr>
      <w:tr>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single" w:sz="4" w:space="0" w:color="FFFFFF"/>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r>
      <w:tr>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bl>
    <w:p>
      <w:pPr>
        <w:pStyle w:val="Normal"/>
        <w:tabs>
          <w:tab w:val="clear" w:pos="709"/>
          <w:tab w:val="left" w:pos="567" w:leader="none"/>
          <w:tab w:val="right" w:pos="9072" w:leader="dot"/>
        </w:tabs>
        <w:spacing w:lineRule="auto" w:line="240" w:before="0" w:after="12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200"/>
        <w:rPr>
          <w:rFonts w:cs="Calibri" w:cstheme="minorHAnsi"/>
          <w:color w:themeColor="text1" w:themeTint="bf" w:val="404040"/>
        </w:rPr>
        <w:sectPr>
          <w:headerReference w:type="default" r:id="rId14"/>
          <w:headerReference w:type="first" r:id="rId15"/>
          <w:footerReference w:type="default" r:id="rId16"/>
          <w:footerReference w:type="first" r:id="rId17"/>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r>
        <w:br w:type="page"/>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4">
                  <w:listItem w:value="2" w:displayText="2"/>
                  <w:listItem w:value="3" w:displayText="3"/>
                  <w:listItem w:value="4" w:displayText="4"/>
                  <w:listItem w:value="5" w:displayText="5"/>
                  <w:listItem w:value="1" w:displayText="1"/>
                </w:dropDownList>
              </w:sdtPr>
              <w:sdtContent>
                <w:r>
                  <w:rPr>
                    <w:rFonts w:eastAsia="Calibri" w:cs=""/>
                    <w:kern w:val="0"/>
                    <w:sz w:val="22"/>
                    <w:szCs w:val="22"/>
                    <w:lang w:val="fr-FR" w:eastAsia="en-US" w:bidi="ar-SA"/>
                  </w:rPr>
                </w:r>
                <w:r>
                  <w:t>1</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2113311891"/>
                <w:placeholder>
                  <w:docPart w:val="05516317A58C4C669ED7E573BAEACD31"/>
                </w:placeholder>
                <w:text/>
              </w:sdtPr>
              <w:sdtContent>
                <w:r>
                  <w:rPr>
                    <w:rFonts w:eastAsia="Calibri" w:cs=""/>
                    <w:kern w:val="0"/>
                    <w:sz w:val="22"/>
                    <w:szCs w:val="22"/>
                    <w:lang w:val="fr-FR" w:eastAsia="en-US" w:bidi="ar-SA"/>
                  </w:rPr>
                  <w:t>Développer une application sécurisée (authentification JWT/Redis, validation Zod, système de réactions)</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Authentification JWT, cookies HTTP-only, middleware Next.js et sessions Redis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J'ai conçu et développé le système d'authentification complet du réseau social : inscription, connexion, déconnexion, protection des routes, et intégration OAuth Google. Cette responsabilité couvrait la chaîne entière de sécurité, de la validation des données d'entrée jusqu'à la protection de chaque requête API.
Route d'inscription /api/public/auth/register : validation Zod (email, mot de passe min. 8 caractères, unicité), hachage bcrypt cost factor 12, création de l'utilisateur via Prisma (model User), génération du JWT initial et placement en cookie HTTP-only.
Route de connexion /api/public/auth/login : vérification de l'existence du compte, comparaison bcrypt, génération JWT signé avec jose (SignJWT, secret JWT_SECRET), cookie HTTP-only Secure SameSite=Lax maxAge 86400, création d'une entrée session en Redis.
Middleware Next.js (src/middleware.ts) : interception de toutes les requêtes /api/private/**, vérification JWT (jose jwtVerify), extraction du userId et injection dans le header x-user-id, réponse 401 pour token absent ou invalide, passthrough pour les routes publiques.
Sessions Redis : clé session:{uuid} -&gt; userId avec TTL 24h ; suppression explicite à la déconnexion pour l'invalidation immédiate sans attendre l'expiration du JWT.
OAuth Google : route de redirection avec state anti-CSRF signé, callback avec récupération profil Google, upsert Prisma de l'utilisateur, génération JWT local.
Extrait — génération JWT et placement en cookie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Next.js 15 App Router — route handlers POST, middleware Edge Runtime
jose — JWT compatible Edge Runtime (SignJWT, jwtVerify), contrairement à jsonwebtoken qui nécessite Node.js
bcrypt — hachage avec cost factor 12 (≈200ms/hash, résistant brute-force)
Upstash Redis (@upstash/redis) — sessions côté serveur, API REST compatible serverless
Prisma ORM — requêtes User (findUnique, create, upsert)
Zod — schémas loginSchema et registerSchema avec messages d'erreur localisés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Développement en autonomie au sein d'une équipe de 6. Les décisions architecturales (JWT HTTP-only vs localStorage, Redis pour l'invalidation) ont fait l'objet de discussions collectives documentées dans les issues GitHub. Les revues de code ont amélioré le code : ajout de SameSite=Lax (CSRF), centralisation de la création du cookie dans un helper réutilisable.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Authentification &amp; Sécurité</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Cookie HTTP-only vs localStorage
Le localStorage est accessible depuis JavaScript client et vulnérable aux attaques XSS. Un cookie HTTP-only est invisible du JavaScript, même en cas d'injection de code malveillant. L'attribut SameSite=Lax protège contre le CSRF en bloquant l'envoi du cookie depuis des sites tiers. Ces choix sont conformes à l'OWASP Authentication Cheat Sheet (A07:2021 — Identification and Authentication Failures).
Redis pour l'invalidation des sessions
Un JWT stateless est valide jusqu'à expiration, même après déconnexion. Sans Redis, une session volée resterait exploitable 24h. Avec Redis, la déconnexion supprime la clé et le middleware rejette immédiatement le token, même cryptographiquement valide. Ce mécanisme est documenté dans la PR #118.
Compatibilité Edge Runtime
Le middleware Next.js s'exécute dans un contexte Edge (pas de Node.js complet), incompatible avec jsonwebtoken standard. La migration vers jose (100% Web Crypto API) a nécessité de réécrire les helpers de signature en utilisant TextEncoder et crypto.subtle. La gestion des cookies Secure a également requis un paramétrage dynamique selon NODE_ENV (HTTP en dev, HTTPS en prod Vercel).</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Validation des données et protection des routes API avec Zod et middleware Next.js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En complément de l'authentification, j'ai mis en place une stratégie de validation et de contrôle d'accès couvrant l'ensemble des endpoints API du projet.
Bibliothèque de 36 schémas Zod partagés (src/lib/schemas/) : User (inscription, profil), Post, Comment, Reaction, Story, Group, GroupMember, Message, Notification. Chaque schéma définit types, contraintes (longueur, format email/URL, enum), et messages d'erreur localisés.
Validation systématique dans les route handlers : safeParse avant tout traitement métier, retour 400 avec rapport d'erreurs structuré en cas d'échec.
Contrôle d'accès par ressource (ownership) : vérification que l'userId du token correspond à l'auteur de la ressource avant modification. Retour 403 Forbidden (authentifié mais non autorisé) et non 401 (non authentifié) — distinction sémantique importante.
Helpers de réponse standardisés (src/lib/server/api/response.ts) : createSuccessResponse, createErrorResponse, createValidationError, createUnauthorized, createForbidden, createNotFound — format JSON uniforme { success, data?, error: { code, message, details? } }.
Extrait — route handler protégé avec validation Zod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Zod (TypeScript-first) — safeParse, z.infer&lt;typeof schema&gt;, flatten().fieldErrors
Next.js middleware — interception uniforme, injection header x-user-id
Prisma — ownership check (findUnique avec authorId: userId)
HTTP status codes sémantiques — 200, 201, 400, 401, 403, 404, 409, 500</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Coordination avec les 6 membres de l'équipe pour aligner les structures de données front/back. Chaque développeur a appliqué les patterns dans ses routes, avec revues croisées. L'audit des routes existantes a révélé 4 routes non protégées, toutes corrigées avant mise en production.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Couche API &amp; Sécurité des données</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Validation isomorphique avec Zod
L'avantage principal de Zod est l'inférence de types TypeScript : z.infer&lt;typeof postCreateSchema&gt; produit automatiquement le type correspondant. Le même schéma peut être utilisé dans react-hook-form côté client (zodResolver) et dans le route handler côté serveur. Quand un champ est modifié dans le schéma, TypeScript signale immédiatement les usages incohérents dans tout le code.
Bilan sécurité
L'audit des routes avant mise en production a identifié 4 vulnérabilités : une route de recherche d'utilisateurs exposant les profils privés sans authentification, une route d'upload sans vérification de la taille des fichiers (risque de déni de service), et deux routes de modification sans contrôle d'ownership. Ces failles ont été corrigées. Ce travail illustre la valeur d'une approche security-first systématique.</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Système de réactions universel posts/stories/commentaires — contribution personnelle majeure (11 commits)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Le système de réactions est ma contribution personnelle la plus complète : de la conception du modèle Prisma jusqu'aux composants React avec mise à jour temps réel. Il permet aux utilisateurs d'exprimer 8 types de réactions sur trois types de contenus.
Conception du modèle Reaction dans prisma/schema.prisma : table unique avec champs optionnels postId?, storyId?, commentId? et trois contraintes @@unique composites garantissant l'unicité côté base de données. Relation cascade (onDelete: Cascade) sur tous les parents pour nettoyer les réactions orphelines.
Endpoints API : POST /api/private/reaction (upsert — créer, modifier ou supprimer selon le type) ; DELETE /api/private/reaction/:id. La logique upsert gère l'idempotence : même type → suppression de la réaction, type différent → mise à jour.
Composants React : ReactionButton (emoji courant ou pouce par défaut), ReactionPicker (popup 8 types au survol), ReactionCount (total par type avec tooltip). Props distinctes postId?, storyId?, commentId? pour les trois types de contenus.
Temps réel (commit 0ca9588) : après action de l'utilisateur, mise à jour optimiste de l'UI + resync via endpoint SSE dédié propageant les nouvelles réactions à tous les clients connectés visualisant le même post.
Refacto likeCache → useState (commit 98ba457) : remplacement du singleton partagé par un état local par composant pour éviter les effets de bord entre instances multiples du même composant.
UX (commits e28ff5a, f0371ae, 931065b) : positionnement du popup pour éviter les débordements viewport, fermeture au clic extérieur, délai d'apparition au survol.
Extrait — modèle Prisma avec contraintes d'unicité composites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Prisma ORM — modèle Reaction, upsert, groupBy pour les counts par type
Next.js Route Handlers — CRUD réactions avec validation Zod (reactionSchema)
React — useState local (refacto du singleton), useEffect pour synchronisation
TypeScript — typage strict props (ReactionType enum, counts Record&lt;ReactionType, number&gt;)
SSE (Server-Sent Events) — propagation temps réel des nouvelles réactions
Tailwind CSS — positionnement popup, animations hover</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Développement entièrement en autonomie — 11 commits du 8 au 28 juillet 2025 (158d8ee, b140030, bd56f13, 98ba457, ac9e7f8, 2356107, 1553b17, e28ff5a, 0ca9588, f0371ae, 931065b). Revues de code portant sur l'optimisation des requêtes Prisma (groupBy à la place de plusieurs count séparés) et l'UX du popup.</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Système de réactions universel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Justification du modèle de données
Trois architectures étaient envisageables : (1) trois tables séparées PostReaction/StoryReaction/CommentReaction — duplication de logique API ; (2) table polymorphique (type + targetId générique) — perte de l'intégrité référentielle ; (3) table unique avec trois clés étrangères optionnelles — retenue car elle combine intégrité référentielle PostgreSQL native (clés étrangères avec cascade) et simplicité (une seule table à requêter).
Les contraintes @@unique composites sont appliquées au niveau de la base de données, pas seulement dans la logique applicative. Une double réaction déclencherait une erreur Prisma P2002 même si la vérification applicative était contournée — defense-in-depth.
Évolution architecturale : du singleton au useState
L'implémentation initiale utilisait likeCache.ts, un module singleton stockant les états de réaction globalement. Ce pattern causait des effets de bord lors du rendu de plusieurs instances du même composant : modifier la réaction d'un post dans le feed se reflétait incorrectement sur le même post affiché ailleurs. La migration vers useState local a résolu le problème en isolant l'état par instance de composant — un principe fondamental de React.</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0">
                  <w:listItem w:value="2" w:displayText="2"/>
                  <w:listItem w:value="3" w:displayText="3"/>
                  <w:listItem w:value="4" w:displayText="4"/>
                  <w:listItem w:value="5" w:displayText="5"/>
                </w:dropDownList>
              </w:sdtPr>
              <w:sdtContent>
                <w:r>
                  <w:rPr>
                    <w:rFonts w:eastAsia="Calibri" w:cs=""/>
                    <w:kern w:val="0"/>
                    <w:sz w:val="22"/>
                    <w:szCs w:val="22"/>
                    <w:lang w:val="fr-FR" w:eastAsia="en-US" w:bidi="ar-SA"/>
                  </w:rPr>
                </w:r>
                <w:r>
                  <w:t>2</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135233077"/>
                <w:placeholder>
                  <w:docPart w:val="D85852D8675446C4BAB86542E25672BC"/>
                </w:placeholder>
                <w:text/>
              </w:sdtPr>
              <w:sdtContent>
                <w:r>
                  <w:rPr>
                    <w:rFonts w:eastAsia="Calibri" w:cs=""/>
                    <w:kern w:val="0"/>
                    <w:sz w:val="22"/>
                    <w:szCs w:val="22"/>
                    <w:lang w:val="fr-FR" w:eastAsia="en-US" w:bidi="ar-SA"/>
                  </w:rPr>
                  <w:t>Concevoir et développer une application sécurisée organisée en couches (architecture, messagerie SSE, design system)</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Conception de l'architecture full-stack en couches et schéma de données Prisma (18 modèles)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participé à la conception de l'architecture du projet et pris en charge la modélisation du schéma Prisma, la production des diagrammes UML, et la documentation de l'architecture dans le dossier de certification.
Architecture en 4 couches : présentation (composants React/Tailwind, pages App Router) ; logique métier (route handlers, server actions, helpers de sécurité) ; accès aux données (Prisma ORM, repository-like helpers) ; infrastructure (PostgreSQL, Redis, Cloudinary). Documentation Mermaid dans 04-developpement/.
Schéma Prisma 18 modèles : User, Post, Comment, Reaction, Story, Follow, Group, GroupMember, GroupPost, Event, EventMember, Message, Conversation, GroupMessage, Notification, Session, RefreshToken, OAuthAccount. Définition des types (String, Int, Boolean, DateTime, enum), relations bidirectionnelles (@relation), index (@index), contraintes d'unicité et cascades de suppression.
Diagrammes UML (03-conception/diagrammes-uml.md) : MCD (entités et cardinalités), MLD (clés étrangères, types logiques), MPD (DDL PostgreSQL), diagramme de classes simplifié (soutenance), diagramme de cas d'utilisation (acteurs Visiteur/Utilisateur/Admin), diagrammes de séquence (authentification, création de post, messagerie SSE).
Gestion des migrations Prisma : fichiers versionnés (prisma/migrations/), distinction migrations additives (safe) vs destructives. Commit 06fe9e5 : alignement final UML ↔ schéma avant soutenance.
Extrait — architecture des répertoires src/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Prisma ORM 5.x — schéma déclaratif, migrate dev/deploy, client TypeScript généré
PostgreSQL 15 (Neon) — stockage relationnel avec contraintes, index, cascades
Next.js 15 App Router — Server Components / Client Components / Route Handlers
Mermaid — diagrammes d'architecture dans la documentation Markdown
TypeScript — typage end-to-end via le client Prisma généré (PrismaClient)</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Modélisation collective impliquant les 6 développeurs : chaque membre apportait ses besoins fonctionnels, j'ai synthétisé dans le schéma. Discussions sur la modélisation des groupes (rôles), les notifications polymorphiques, les many-to-many implicites vs tables de jointure explicites. J'ai rédigé le schéma final et les diagrammes.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Architecture &amp; Modélisation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Server Components vs Client Components
Next.js 15 App Router distingue Server Components (SC, exécutés côté serveur, accès direct à Prisma, zéro JavaScript envoyé au client) et Client Components (CC, exécutés côté browser, gèrent l'interactivité). Cette distinction impose une séparation des préoccupations similaire à MVC au niveau du composant. Dans le projet, les pages de feed et profil sont des SC récupérant les données en base, qui passent les données en props à des CC pour l'interactivité (likes, commentaires, navigation).
Cascades de suppression
Le choix onDelete: Cascade (ex. : supprimer un post supprime ses commentaires et réactions) vs onDelete: SetNull (ex. : supprimer un utilisateur rend ses commentaires anonymes) est une décision de conception importante. Ces choix sont documentés dans le schéma avec des commentaires explicatifs et reflètent des arbitrages métier précis sur le comportement attendu de l'application.</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Messagerie et notifications temps réel — Server-Sent Events et Upstash Redis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conçu et développé le système de messagerie instantanée et de notifications en temps réel, en résolvant le défi principal : implémenter du temps réel dans une architecture serverless sans serveur longue durée.
Analyse des options : WebSockets (Socket.io, incompatible serverless Vercel — connexions TCP longue durée impossibles), Long Polling (compatible mais latence élevée et charge serveur importante), SSE + Redis polling (compatible serverless, latence acceptable pour un réseau social). Choix documenté dans veille-technique.md.
Flux de messagerie : émission via POST /api/private/chat/send (validation Zod, persistance Prisma, écriture Redis clé latest:chat:{userId} avec TTL 60s) ; réception via GET /api/private/chat/listen (ReadableStream SSE, polling Redis getdel toutes les 500ms).
Endpoint SSE /api/private/chat/listen : ReadableStream Next.js App Router, boucle de polling Redis avec getdel (lecture+suppression atomique pour déduplication), envoi SSE au format data: {json}\n\n, gestion de la déconnexion via AbortController signal, cleanup à la fermeture du stream.
Hook React useRealTimeChat : connexion EventSource, backoff exponentiel sur reconnexion, accumulation des messages dans useState, synchronisation avec le chargement initial REST.
Application aux notifications : même architecture pour /api/private/notifications/listen, persistance en base (modèle Notification) + transit Redis.
Extrait — endpoint SSE avec polling Redis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Server-Sent Events — API HTTP native, flux unidirectionnel serveur → client
ReadableStream (Next.js App Router) — SSE compatible Edge Runtime
Upstash Redis getdel — atomique : lit et supprime la clé en une opération (déduplication sans race condition)
Prisma — persistance durable (Conversation, Message, GroupMessage)
EventSource (browser) — reconnexion automatique intégrée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Travail en binôme sur la partie temps réel. Revues portant sur la gestion des cas limites : messages perdus si client déconnecté (résolu par persistance en base avant Redis), doublons (résolu par getdel atomique), reconnexion SSE (gérée par EventSource nativement).</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Messagerie temps réel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Pourquoi SSE plutôt que WebSockets
Vercel exécute les route handlers comme des fonctions serverless éphémères. Une connexion WebSocket nécessite un serveur TCP longue durée incompatible. SSE fonctionne sur HTTP standard (Content-Type: text/event-stream) et peut être maintenu le temps de vie d'une fonction serverless. Redis joue le rôle de bus de messages entre instances : l'émetteur écrit dans Redis, le récepteur lit depuis Redis via SSE — coordination sans serveur centralisé.
Performance et latence
Le polling Redis toutes les 500ms induit une latence moyenne de 250ms (0 à 500ms) entre envoi et réception. Acceptable pour un réseau social. Une amélioration documentée serait d'utiliser Pusher ou Ably (services de messagerie gérés, compatibles serverless, latence &lt; 50ms) pour les cas nécessitant une réactivité plus élevée.</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Design system dark mode, thème provider et composant de création de posts multi-médias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défini l'identité visuelle du projet Social Network et développé le composant de création de posts multi-médias, fonctionnalité centrale de l'application, permettant de combiner texte, images, vidéos et GIFs.
Mise en place du design system (commits 5399254, 14f9b4a — mai 2025) : variables CSS custom properties dans globals.css — --bgLevel1 à --bgLevel5 (hiérarchie des fonds), --textPrimary/Secondary/Tertiary (niveaux de texte), --borderColor, --accentColor --blue40. Ces tokens sont les seules sources de couleur dans tous les composants.
ThemeProvider avec next-themes : persistance du thème en localStorage, injection des variables CSS selon le thème actif (data-theme='dark'), support Server-Side Rendering (attribut defaultTheme depuis le serveur), switch de thème sans FOUC (Flash Of Unstyled Content).
Application du thème : page de connexion (commit f3ba6c2), layout global (commit 9c3110b), sélecteur de GIFs adapté aux deux thèmes (commit 5218ef9).
Composant CreatePostDialog (commits ef58dc6 à f7e9fb9) : dialog modal responsive, champ texte avec compteur de caractères, sélection multi-médias (images/vidéos) avec prévisualisation locale FileReader, insertion GIF via Giphy API, sélection d'emojis. Upload Cloudinary avec progression avant soumission.
Gestion des médias multiples : prévisualisation FileReader (sans upload), grille responsive adaptée au nombre de médias (1, 2, 3, 4+), suppression individuelle, indicateur de progression, support JPEG/PNG/GIF/AVIF/MP4.
Extrait — design tokens CSS dark mode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CSS Custom Properties — design tokens pour la palette, point de modification unique
next-themes — dark/light mode avec persistance localStorage et SSR sans FOUC
Cloudinary SDK (@cloudinary/next) — upload médias, transformation à la volée, URLs CDN
FileReader API — prévisualisation locale avant upload (sans requête réseau)
Giphy API — recherche et insertion GIFs animés
React Hook Form + Zod — formulaire de création de post avec validation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Design system défini en autonomie en mai 2025, adopté par toute l'équipe. Documentation des variables dans le README pour éviter les valeurs codées en dur. CreatePostDialog développé seul, revues portant sur l'accessibilité (labels ARIA, support clavier du modal) et la performance de l'upload.</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Design system &amp; Composants UI</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Importance du design system en équipe
Sans tokens de couleur partagés, chaque développeur utilise ses propres valeurs hexadécimales, résultant en une interface incohérente. Les variables CSS permettent de changer toute la palette en modifiant un seul fichier. La sémantique --bgLevel1 à --bgLevel5 (hiérarchie de fonds) est bien plus expressive que des valeurs de gris arbitraires et facilite la maintenance sur le long terme.
Upload multi-médias et UX
Le flux d'upload illustre la gestion asynchrone dans un composant complexe : sélection de fichiers → prévisualisation locale immédiate (FileReader, zéro latence réseau) → upload parallèle sur Cloudinary (Promise.all) au moment de la publication → création du post en base avec les URLs CDN retournées. Ce flux à deux étapes découple la prévisualisation de l'upload et offre une meilleure UX en cas d'échec partiel d'un fichier.</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1">
                  <w:listItem w:value="2" w:displayText="2"/>
                  <w:listItem w:value="3" w:displayText="3"/>
                  <w:listItem w:value="4" w:displayText="4"/>
                  <w:listItem w:value="5" w:displayText="5"/>
                </w:dropDownList>
              </w:sdtPr>
              <w:sdtContent>
                <w:r>
                  <w:rPr>
                    <w:rFonts w:eastAsia="Calibri" w:cs=""/>
                    <w:kern w:val="0"/>
                    <w:sz w:val="22"/>
                    <w:szCs w:val="22"/>
                    <w:lang w:val="fr-FR" w:eastAsia="en-US" w:bidi="ar-SA"/>
                  </w:rPr>
                </w:r>
                <w:r>
                  <w:t>3</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860819542"/>
                <w:placeholder>
                  <w:docPart w:val="14046861018B4809A6241D4E948106D1"/>
                </w:placeholder>
                <w:text/>
              </w:sdtPr>
              <w:sdtContent>
                <w:r>
                  <w:rPr>
                    <w:rFonts w:eastAsia="Calibri" w:cs=""/>
                    <w:kern w:val="0"/>
                    <w:sz w:val="22"/>
                    <w:szCs w:val="22"/>
                    <w:lang w:val="fr-FR" w:eastAsia="en-US" w:bidi="ar-SA"/>
                  </w:rPr>
                  <w:t>Préparer le déploiement d'une application sécurisée (Docker CI/CD, Vercel/Neon, monitoring opérationnel)</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Containerisation Docker multi-stage et pipeline CI/CD GitHub Actions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conçu et mis en place la chaîne de build et d'intégration continue : Dockerfile multi-stage optimisé pour la production, docker-compose.yml avec profils dev/prod, et pipeline GitHub Actions automatisé.
Dockerfile multi-stage : étape builder (oven/bun:1, apt install openssl, bun install, prisma generate, next build --mode standalone) ; étape runner (oven/bun:1 slim, copie uniquement .next/, node_modules/, public/, prisma/). OpenSSL installé aux deux stages (binaires natifs Prisma). Taille image production ≈ 80% plus petite que l'image builder.
docker-compose.yml avec profils Docker Compose : profil dev (service app-dev, volume mount du code source, WATCHPACK_POLLING=true pour hot reload dans Docker, chargement .env) ; profil prod (service app, image pré-buildée, sans volume). Un seul fichier gère deux modes.
Pipeline GitHub Actions (.github/workflows/ci.yml) : déclenchement push main + Pull Request, oven-sh/setup-bun@v1, étapes bun install --frozen-lockfile, bunx prisma generate, bun run lint, bun run test, bun run build. Détection automatique des régressions avant merge.
Résolution des incompatibilités (PR #118) : binaires natifs Prisma incompatibles avec certaines versions de Bun, paramétrage binaryTargets dans schema.prisma, pin des versions dans bun.lock pour reproductibilité.
Extrait — Dockerfile multi-stage (simplifié)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Docker (multi-stage build) — séparation build/runtime, image production allégée
Docker Compose (profils) — orchestration locale dev/prod, variables d'env, volumes
GitHub Actions — oven-sh/setup-bun@v1, pipeline lint/test/build
Bun 1.x — bun install --frozen-lockfile, bun run test (Jest)
ESLint — analyse statique TypeScript
Jest + --experimental-vm-modules — tests compatibles ES modules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Travail collaboratif pour la stabilisation. La PR #118 représente le point de convergence après plusieurs semaines d'itérations pour résoudre les incompatibilités Bun/Prisma. J'ai rédigé la configuration finale et documenté les procédures.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Infrastructure &amp; CI/CD</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Multi-stage : optimisation de l'image production
L'image builder &gt; 2 Go (devDependencies, TypeScript, ESLint, Prisma CLI, Jest). L'image runner ne contient que les artifacts compilés, dépendances de production et binaires Prisma. Cette séparation réduit la taille de 80%, accélère les déploiements et réduit la surface d'attaque (pas d'outils de build exposés en production).
La commande CMD au démarrage (prisma migrate deploy &amp;&amp; bun run start) garantit que les migrations sont appliquées avant le démarrage — sans étape manuelle lors des déploiements. Sûre pour les migrations additives, mais nécessite une procédure spéciale pour les migrations destructives.
Valeur concrète du pipeline CI
Le pipeline a détecté des régressions réelles avant merge : erreur de lint (variable non utilisée), test cassé après un refactoring du schéma Prisma, erreur de build liée à un import circulaire. Ces détections automatiques ont évité que des bugs n'atteignent la production.</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Déploiement en production sur Vercel avec PostgreSQL Neon et migrations Prisma</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configuré et documenté le déploiement en production sur Vercel, avec PostgreSQL Neon comme base de données cloud, Upstash Redis pour le temps réel, et Cloudinary pour les médias.
Configuration Vercel : liaison au dépôt GitHub, paramétrage framework Next.js, déploiements automatiques sur push main et Preview sur les branches de feature.
Injection des secrets (12 variables) : DATABASE_URL (URL poolée Neon/pgbouncer), DIRECT_URL (connexion directe pour migrations), JWT_SECRET, OAUTH_TOKEN_ENCRYPTION_KEY, UPSTASH_REDIS_REST_URL, UPSTASH_REDIS_REST_TOKEN, CLOUDINARY_CLOUD_NAME/API_KEY/API_SECRET, NEXT_PUBLIC_GIPHY_API_KEY, CLIENT_ID/CLIENT_SECRET/REDIRECT_URL. Documentation dans .env.exemple (sans valeurs).
Configuration Prisma pour Neon : deux URLs dans datasource db — url (poolée pgbouncer, pour les requêtes applicatives) et directUrl (connexion directe, pour prisma migrate deploy). Distinction requise car pgbouncer est incompatible avec les migrations multi-étapes de Prisma.
Procédure de migration : prisma migrate deploy (idempotent, applique migrations en attente). Procédure documentée pour migrations destructives : backup, déploiement progressif, rollback plan.
Checklist post-déploiement : page d'accueil + connexion, création de post, messagerie temps réel, cookies HTTP-only dans DevTools, redirections middleware, SSL.
Procédure de rollback : vercel rollback pour retour instantané à un déploiement précédent. Distinction rollback application (Vercel, instantané) vs rollback BDD (manuel, migrations Prisma ne sont pas réversibles automatiquement).
Extrait — configuration Prisma pour Neon (datasource db)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Vercel — plateforme Next.js, secrets chiffrés, Preview/Production
PostgreSQL Neon — serverless, pgbouncer, branches de base de données
Prisma Migrate — migrate deploy (production), migrate dev (développement)
Upstash Redis — API REST, dashboard monitoring
Cloudinary — CDN médias, transformations à la volée
Vercel CLI — vercel rollback</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Configuration collective : Prisma/Neon par moi, OAuth Google et Cloudinary par d'autres membres. Coordination stricte sur les secrets : revue systématique des PR, vérification .gitignore, aucune valeur sensible committée.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Mise en production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Configuration Neon + Prisma : pourquoi deux URLs
Neon est une base de données PostgreSQL serverless avec pgbouncer (pooleur de connexions) pour la scalabilité. Prisma utilise par défaut des connexions persistantes incompatibles avec le serverless. La DATABASE_URL poolée résout ce problème pour les requêtes applicatives. Mais pgbouncer est incompatible avec prisma migrate deploy (qui utilise des transactions multi-étapes). D'où la nécessité d'une DIRECT_URL séparée pour les migrations uniquement. Cette configuration est la référence officielle de Prisma pour les déploiements sur Neon.
Sécurité des secrets en production
Bonnes pratiques appliquées : (1) aucun secret dans le dépôt Git ; (2) variables Vercel chiffrées au repos ; (3) .env.exemple avec placeholders pour documenter les variables requises ; (4) rotation des secrets possible sans re-déploiement. Conformes aux recommandations du OWASP Secrets Management Cheat Sheet.</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Monitoring, observabilité et documentation opérationnelle du déploiement</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défini et documenté la stratégie d'observabilité et les procédures opérationnelles du projet : monitoring des erreurs, surveillance des performances, procédures de rollback, checklist de déploiement, et rédaction de l'intégralité du dossier de certification.
Stratégie de monitoring documentée dans 05-deploiement/README.md : logs applicatifs structurés (console structurée côté serveur capturée par Vercel Logs), Vercel Analytics pour les Core Web Vitals (LCP, FID, CLS, TTFB), alertes automatiques sur les échecs de build/déploiement via notifications Vercel + GitHub Actions.
Checklist de déploiement : liste vérifiable couvrant les étapes pré-déploiement (backup si migration destructive, vérification CI verte), les étapes de déploiement (push main, monitoring du build Vercel, vérification migration Prisma), et les contrôles post-déploiement (7 points de validation fonctionnelle).
Procédures de rollback documentées : vercel rollback (instantané, application uniquement), procédure de restauration de base de données (backup préalable requis car les migrations Prisma ne se rollbackent pas automatiquement), critères de déclenchement du rollback.
Documentation des axes d'amélioration : Sentry pour le monitoring d'erreurs avec stack traces (non installé, documenté comme priorité), tests end-to-end Playwright (manquants, documentés), branches de base de données Neon pour isoler les tests.
Rédaction de l'intégralité du dossier de certification (commits 537b482 à 0e4066d) : 7 sections (contexte projet, gestion de projet, conception, développement, déploiement, bilan, annexes), diagrammes UML, mapping des 11 compétences RNCP, preuves GitHub vérifiables. Ce dossier est une contribution personnelle à 100%.</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Vercel Analytics — Core Web Vitals, LCP, FID, CLS
Vercel Logs — fonctions serverless, alertes de déploiement
GitHub Actions notifications — alertes email sur pipelines échoués
Vercel CLI — vercel rollback, vercel env pull
Markdown + Mermaid — documentation technique du dossier de certification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Documentation et monitoring rédigés en autonomie. Le dossier de certification est une contribution personnelle à 100% : structure, rédaction, diagrammes UML, mapping des compétences RNCP, preuves GitHub. Commits 537b482 à 0e4066d entre avril et mai 2026.</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Monitoring &amp; Documentation opérationnelle</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22/05/2026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Documentation opérationnelle : valeur pour l'équipe
Un déploiement réussi ne se limite pas à mettre du code en production. La documentation opérationnelle — procédures de déploiement, checklist, rollback, gestion des secrets — permet à n'importe quel membre de l'équipe d'intervenir en production sans risque d'oublier une étape critique. La checklist de déploiement suit le principe des listes de contrôle utilisées dans l'aviation et la médecine : éliminer les erreurs humaines par omission.
Documentation honnête des lacunes
Documenter les manques est aussi important que documenter les réussites. J'ai identifié trois axes d'amélioration prioritaires : Sentry (les erreurs de production ne sont actuellement visibles que dans les logs Vercel sans contexte de stack trace), tests end-to-end (seuls des tests unitaires sont en place), et branches Neon pour isoler les tests d'intégration. Cette approche démontre une compréhension mature du cycle de vie d'un produit en production et une capacité à anticiper les prochaines étapes d'amélioration.</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3"/>
        <w:gridCol w:w="4396"/>
        <w:gridCol w:w="2693"/>
      </w:tblGrid>
      <w:tr>
        <w:trPr/>
        <w:tc>
          <w:tcPr>
            <w:tcW w:w="9782" w:type="dxa"/>
            <w:gridSpan w:val="3"/>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p>
            <w:pPr>
              <w:pStyle w:val="Normal"/>
              <w:widowControl/>
              <w:spacing w:lineRule="auto" w:line="240" w:before="0" w:after="0"/>
              <w:jc w:val="center"/>
              <w:rPr>
                <w:rFonts w:cs="Calibri" w:cstheme="minorHAnsi"/>
                <w:color w:themeColor="text1" w:themeTint="bf" w:val="404040"/>
                <w:sz w:val="28"/>
                <w:szCs w:val="28"/>
                <w:lang w:eastAsia="fr-FR"/>
              </w:rPr>
            </w:pPr>
            <w:r>
              <w:rPr>
                <w:rFonts w:eastAsia="Calibri" w:cs="Calibri" w:cstheme="minorHAnsi"/>
                <w:color w:themeColor="text1" w:themeTint="bf" w:val="404040"/>
                <w:kern w:val="0"/>
                <w:sz w:val="28"/>
                <w:szCs w:val="28"/>
                <w:lang w:val="fr-FR" w:eastAsia="fr-FR" w:bidi="ar-SA"/>
              </w:rPr>
            </w:r>
          </w:p>
        </w:tc>
      </w:tr>
      <w:tr>
        <w:trPr/>
        <w:tc>
          <w:tcPr>
            <w:tcW w:w="2693"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6"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3"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15783948"/>
                <w:placeholder>
                  <w:docPart w:val="10928C2C40A041498AA8ECAF6290BDCD"/>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Concepteur Développeur d'Applications (RNCP 37873) — en cours</w:t>
                </w:r>
              </w:sdtContent>
            </w:sdt>
          </w:p>
        </w:tc>
        <w:tc>
          <w:tcPr>
            <w:tcW w:w="4396"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805660918"/>
                <w:placeholder>
                  <w:docPart w:val="82AA1F2D0AB2438D8F92355CB802BD47"/>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pacing w:lineRule="auto" w:line="240" w:before="0" w:after="0"/>
              <w:ind w:end="175"/>
              <w:jc w:val="center"/>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t>2023-</w:t>
            </w:r>
            <w:sdt>
              <w:sdtPr>
                <w:alias w:val="date"/>
                <w:tag w:val="date"/>
                <w:id w:val="-731318474"/>
                <w:placeholder>
                  <w:docPart w:val="B86463D8C1EC48B9B1941578679214F9"/>
                </w:placeholder>
                <w:date>
                  <w:dateFormat w:val="dd/MM/yyyy"/>
                  <w:lid w:val="fr-FR"/>
                </w:date>
              </w:sdtPr>
              <w:sdtContent>
                <w:r>
                  <w:rPr>
                    <w:rFonts w:eastAsia="Calibri" w:cs="Calibri" w:cstheme="minorHAnsi"/>
                    <w:b/>
                    <w:color w:themeColor="text1" w:themeTint="bf" w:val="404040"/>
                    <w:kern w:val="0"/>
                    <w:sz w:val="20"/>
                    <w:szCs w:val="20"/>
                    <w:lang w:val="fr-FR" w:eastAsia="en-US" w:bidi="ar-SA"/>
                  </w:rPr>
                </w:r>
                <w:r>
                  <w:rPr>
                    <w:rFonts w:eastAsia="Calibri" w:cs="Calibri" w:cstheme="minorHAnsi"/>
                    <w:b/>
                    <w:color w:themeColor="text1" w:themeTint="bf" w:val="404040"/>
                    <w:kern w:val="0"/>
                    <w:sz w:val="20"/>
                    <w:szCs w:val="20"/>
                    <w:lang w:val="fr-FR" w:eastAsia="en-US" w:bidi="ar-SA"/>
                  </w:rPr>
                  <w:t>2025</w:t>
                </w:r>
              </w:sdtContent>
            </w:sdt>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92916534"/>
                <w:placeholder>
                  <w:docPart w:val="C2D1BD9467234066AFFB39BBC18D3357"/>
                </w:placeholder>
                <w:text/>
              </w:sdtPr>
              <w:sdtContent>
                <w:r>
                  <w:rPr>
                    <w:rFonts w:eastAsia="Calibri" w:cs=""/>
                    <w:kern w:val="0"/>
                    <w:sz w:val="22"/>
                    <w:szCs w:val="22"/>
                    <w:lang w:val="fr-FR" w:eastAsia="en-US" w:bidi="ar-SA"/>
                  </w:rPr>
                </w:r>
                <w:r>
                  <w:rPr>
                    <w:rFonts w:eastAsia="Calibri" w:cs=""/>
                    <w:kern w:val="0"/>
                    <w:sz w:val="22"/>
                    <w:szCs w:val="22"/>
                    <w:lang w:val="fr-FR" w:eastAsia="en-US" w:bidi="ar-SA"/>
                  </w:rPr>
                  <w:t>BTS Maintenance des Automatismes Industriels (MAI)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2057810273"/>
                <w:placeholder>
                  <w:docPart w:val="B59CF0344AD343AA9243453A9657E49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494297515"/>
                <w:placeholder>
                  <w:docPart w:val="F0095E2B221F4BF687B596967FAA2731"/>
                </w:placeholder>
                <w:date w:fullDate="1905-06-25T00:00:00Z">
                  <w:dateFormat w:val="dd/MM/yyyy"/>
                  <w:lid w:val="fr-FR"/>
                  <w:storeMappedDataAs w:val="dateTime"/>
                  <w:calendar w:val="gregorian"/>
                </w:date>
              </w:sdtPr>
              <w:sdtContent>
                <w:r>
                  <w:rPr>
                    <w:rFonts w:eastAsia="Calibri" w:cs=""/>
                    <w:kern w:val="0"/>
                    <w:sz w:val="22"/>
                    <w:szCs w:val="22"/>
                    <w:lang w:val="fr-FR" w:eastAsia="en-US" w:bidi="ar-SA"/>
                  </w:rPr>
                </w:r>
                <w:r>
                  <w:rPr>
                    <w:rFonts w:eastAsia="Calibri" w:cs=""/>
                    <w:kern w:val="0"/>
                    <w:sz w:val="22"/>
                    <w:szCs w:val="22"/>
                    <w:lang w:val="fr-FR" w:eastAsia="en-US" w:bidi="ar-SA"/>
                  </w:rPr>
                  <w:t>2003</w:t>
                </w:r>
                <w:r/>
              </w:sdtContent>
            </w:sdt>
            <w:r>
              <w:rPr>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678578469"/>
                <w:placeholder>
                  <w:docPart w:val="30D259F627CA450281987394C08996E5"/>
                </w:placeholder>
                <w:text/>
              </w:sdtPr>
              <w:sdtContent>
                <w:r>
                  <w:rPr>
                    <w:rFonts w:eastAsia="Calibri" w:cs=""/>
                    <w:kern w:val="0"/>
                    <w:sz w:val="22"/>
                    <w:szCs w:val="22"/>
                    <w:lang w:val="fr-FR" w:eastAsia="en-US" w:bidi="ar-SA"/>
                  </w:rPr>
                </w:r>
                <w:r>
                  <w:rPr>
                    <w:rFonts w:eastAsia="Calibri" w:cs=""/>
                    <w:kern w:val="0"/>
                    <w:sz w:val="22"/>
                    <w:szCs w:val="22"/>
                    <w:lang w:val="fr-FR" w:eastAsia="en-US" w:bidi="ar-SA"/>
                  </w:rPr>
                  <w:t>BAC PRO MSMA (Maintenance des Systèmes Mécaniques Automatisés)</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374578029"/>
                <w:placeholder>
                  <w:docPart w:val="C0D9DACF8C4544B692202DDE628295F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92522842"/>
                <w:placeholder>
                  <w:docPart w:val="EFC2186B720C46389A291839FDB36856"/>
                </w:placeholder>
                <w:date w:fullDate="1905-06-23T00:00:00Z">
                  <w:dateFormat w:val="dd/MM/yyyy"/>
                  <w:lid w:val="fr-FR"/>
                  <w:storeMappedDataAs w:val="dateTime"/>
                  <w:calendar w:val="gregorian"/>
                </w:date>
              </w:sdtPr>
              <w:sdtContent>
                <w:r>
                  <w:rPr>
                    <w:rFonts w:eastAsia="Calibri" w:cs=""/>
                    <w:kern w:val="0"/>
                    <w:sz w:val="22"/>
                    <w:szCs w:val="22"/>
                    <w:lang w:val="fr-FR" w:eastAsia="en-US" w:bidi="ar-SA"/>
                  </w:rPr>
                </w:r>
                <w:r>
                  <w:rPr>
                    <w:rFonts w:eastAsia="Calibri" w:cs=""/>
                    <w:kern w:val="0"/>
                    <w:sz w:val="22"/>
                    <w:szCs w:val="22"/>
                    <w:lang w:val="fr-FR" w:eastAsia="en-US" w:bidi="ar-SA"/>
                  </w:rPr>
                  <w:t>200</w:t>
                </w:r>
                <w:r>
                  <w:rPr>
                    <w:rFonts w:eastAsia="Calibri" w:cs=""/>
                    <w:kern w:val="0"/>
                    <w:sz w:val="22"/>
                    <w:szCs w:val="22"/>
                    <w:lang w:val="fr-FR" w:eastAsia="en-US" w:bidi="ar-SA"/>
                  </w:rPr>
                  <w:t>1</w:t>
                </w:r>
                <w:r/>
              </w:sdtContent>
            </w:sdt>
            <w:r>
              <w:rPr>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451628179"/>
                <w:placeholder>
                  <w:docPart w:val="3EAD1A09E5464942BFC61C88898D2B67"/>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800489748"/>
                <w:placeholder>
                  <w:docPart w:val="F5985C60163B47329D2D6CA5F29D6F1B"/>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534421718"/>
                <w:placeholder>
                  <w:docPart w:val="06F6F86613A845FBBEA73E29978025BE"/>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665603386"/>
                <w:placeholder>
                  <w:docPart w:val="38B593253BF24E51811320228A75F364"/>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74456826"/>
                <w:placeholder>
                  <w:docPart w:val="B8DA26A2CE584A8C96F7872FA31F29A0"/>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698437198"/>
                <w:placeholder>
                  <w:docPart w:val="4CAD6CF92BE14E55A4D426EC7BB5BF4E"/>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780377363"/>
                <w:placeholder>
                  <w:docPart w:val="460BDC17DDAA4DCCA87ABA910323E93E"/>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551752405"/>
                <w:placeholder>
                  <w:docPart w:val="3D9E34C9EFD2482FBEE6CEB78AD279A3"/>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140027505"/>
                <w:placeholder>
                  <w:docPart w:val="E35425E0C6004D2E9D2836E67FD4D62F"/>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645741622"/>
                <w:placeholder>
                  <w:docPart w:val="8552024EBFC34D68820B56B035D073D9"/>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667283844"/>
                <w:placeholder>
                  <w:docPart w:val="FF5EBAB5B09D4434BD221F82D867A13C"/>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066251698"/>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34189796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2907731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319159702"/>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72804284"/>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28018676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624118815"/>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BFBFBF"/>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16991077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BFBFBF"/>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53172023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BFBFBF"/>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114897667"/>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567" w:hRule="atLeast"/>
        </w:trPr>
        <w:tc>
          <w:tcPr>
            <w:tcW w:w="9782" w:type="dxa"/>
            <w:tcBorders>
              <w:top w:val="single" w:sz="18" w:space="0" w:color="D60093"/>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5"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1"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miter" endcap="flat"/>
                <v:textbox>
                  <w:txbxContent>
                    <w:p>
                      <w:pPr>
                        <w:pStyle w:val="FrameContents"/>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3"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2"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
                              <w:spacing w:before="0" w:after="200"/>
                              <w:rPr>
                                <w:color w:themeColor="text1" w:themeTint="bf" w:val="404040"/>
                                <w:sz w:val="24"/>
                                <w:szCs w:val="24"/>
                              </w:rPr>
                            </w:pPr>
                            <w:sdt>
                              <w:sdtPr>
                                <w:alias w:val="Déclaration_Le :"/>
                                <w:tag w:val="Déclaration_Le :"/>
                                <w:id w:val="-1372685351"/>
                                <w:showingPlcHdr/>
                                <w:date>
                                  <w:dateFormat w:val="dd/MM/yyyy"/>
                                  <w:lid w:val="fr-FR"/>
                                  <w:storeMappedDataAs w:val="dateTime"/>
                                  <w:calendar w:val="gregorian"/>
                                </w:date>
                              </w:sdtPr>
                              <w:sdtContent>
                                <w:r>
                                  <w:rPr>
                                    <w:rStyle w:val="PlaceholderText"/>
                                    <w:i/>
                                    <w:color w:themeColor="text1" w:themeTint="bf" w:val="404040"/>
                                    <w:sz w:val="24"/>
                                    <w:szCs w:val="24"/>
                                  </w:rPr>
                                </w:r>
                                <w:r>
                                  <w:rPr>
                                    <w:rStyle w:val="PlaceholderText"/>
                                    <w:i/>
                                    <w:color w:themeColor="text1" w:themeTint="bf" w:val="404040"/>
                                    <w:sz w:val="24"/>
                                    <w:szCs w:val="24"/>
                                  </w:rPr>
                                  <w:t>Cliquez ici</w:t>
                                </w:r>
                                <w:r>
                                  <w:rPr>
                                    <w:rStyle w:val="PlaceholderText"/>
                                    <w:i/>
                                    <w:color w:themeColor="text1" w:themeTint="bf" w:val="404040"/>
                                    <w:sz w:val="24"/>
                                    <w:szCs w:val="24"/>
                                  </w:rPr>
                                  <w:t xml:space="preserve"> pour choisir une date</w:t>
                                </w:r>
                                <w:r/>
                              </w:sdtContent>
                            </w:sdt>
                            <w:r>
                              <w:rPr>
                                <w:rStyle w:val="PlaceholderText"/>
                                <w:i/>
                                <w:color w:themeColor="text1" w:themeTint="bf" w:val="404040"/>
                                <w:sz w:val="24"/>
                                <w:szCs w:val="24"/>
                              </w:rPr>
                            </w:r>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miter" endcap="flat"/>
                <v:textbox>
                  <w:txbxContent>
                    <w:p>
                      <w:pPr>
                        <w:pStyle w:val="FrameContents"/>
                        <w:spacing w:before="0" w:after="200"/>
                        <w:rPr>
                          <w:color w:themeColor="text1" w:themeTint="bf" w:val="404040"/>
                          <w:sz w:val="24"/>
                          <w:szCs w:val="24"/>
                        </w:rPr>
                      </w:pPr>
                      <w:sdt>
                        <w:sdtPr>
                          <w:alias w:val="Déclaration_Le :"/>
                          <w:tag w:val="Déclaration_Le :"/>
                          <w:id w:val="-1372685351"/>
                          <w:showingPlcHdr/>
                          <w:date>
                            <w:dateFormat w:val="dd/MM/yyyy"/>
                            <w:lid w:val="fr-FR"/>
                            <w:storeMappedDataAs w:val="dateTime"/>
                            <w:calendar w:val="gregorian"/>
                          </w:date>
                        </w:sdtPr>
                        <w:sdtContent>
                          <w:r>
                            <w:rPr>
                              <w:rStyle w:val="PlaceholderText"/>
                              <w:i/>
                              <w:color w:themeColor="text1" w:themeTint="bf" w:val="404040"/>
                              <w:sz w:val="24"/>
                              <w:szCs w:val="24"/>
                            </w:rPr>
                          </w:r>
                          <w:r>
                            <w:rPr>
                              <w:rStyle w:val="PlaceholderText"/>
                              <w:i/>
                              <w:color w:themeColor="text1" w:themeTint="bf" w:val="404040"/>
                              <w:sz w:val="24"/>
                              <w:szCs w:val="24"/>
                            </w:rPr>
                            <w:t>Cliquez ici</w:t>
                          </w:r>
                          <w:r>
                            <w:rPr>
                              <w:rStyle w:val="PlaceholderText"/>
                              <w:i/>
                              <w:color w:themeColor="text1" w:themeTint="bf" w:val="404040"/>
                              <w:sz w:val="24"/>
                              <w:szCs w:val="24"/>
                            </w:rPr>
                            <w:t xml:space="preserve"> pour choisir une date</w:t>
                          </w:r>
                          <w:r/>
                        </w:sdtContent>
                      </w:sdt>
                      <w:r>
                        <w:rPr>
                          <w:rStyle w:val="PlaceholderText"/>
                          <w:i/>
                          <w:color w:themeColor="text1" w:themeTint="bf" w:val="404040"/>
                          <w:sz w:val="24"/>
                          <w:szCs w:val="24"/>
                        </w:rPr>
                      </w:r>
                    </w:p>
                  </w:txbxContent>
                </v:textbox>
                <w10:wrap type="none"/>
              </v:rect>
            </w:pict>
          </mc:Fallback>
        </mc:AlternateContent>
        <mc:AlternateContent>
          <mc:Choice Requires="wps">
            <w:drawing>
              <wp:anchor distT="0" distB="0" distL="0" distR="0" simplePos="0" relativeHeight="117"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3"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miter" endcap="flat"/>
                <v:textbox>
                  <w:txbxContent>
                    <w:p>
                      <w:pPr>
                        <w:pStyle w:val="FrameContents"/>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tcBorders>
              <w:top w:val="single" w:sz="18" w:space="0" w:color="D60093"/>
              <w:start w:val="nil"/>
              <w:bottom w:val="single" w:sz="8" w:space="0" w:color="D9D9D9"/>
              <w:end w:val="nil"/>
            </w:tcBorders>
          </w:tcPr>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tc>
      </w:tr>
      <w:tr>
        <w:trPr/>
        <w:tc>
          <w:tcPr>
            <w:tcW w:w="9782"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oc illustrant la pratique"/>
                <w:tag w:val="Doc illustrant la pratique"/>
                <w:id w:val="-73123424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sectPr>
          <w:headerReference w:type="default" r:id="rId18"/>
          <w:headerReference w:type="first" r:id="rId19"/>
          <w:footerReference w:type="default" r:id="rId20"/>
          <w:footerReference w:type="first" r:id="rId21"/>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tcBorders>
              <w:top w:val="single" w:sz="18" w:space="0" w:color="D60093"/>
              <w:start w:val="nil"/>
              <w:bottom w:val="nil"/>
              <w:end w:val="nil"/>
            </w:tcBorders>
          </w:tcPr>
          <w:p>
            <w:pPr>
              <w:pStyle w:val="Normal"/>
              <w:widowControl/>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11" behindDoc="0" locked="0" layoutInCell="0" allowOverlap="1" wp14:anchorId="7C090976">
                <wp:simplePos x="0" y="0"/>
                <wp:positionH relativeFrom="margin">
                  <wp:posOffset>5349875</wp:posOffset>
                </wp:positionH>
                <wp:positionV relativeFrom="page">
                  <wp:posOffset>9923780</wp:posOffset>
                </wp:positionV>
                <wp:extent cx="473710" cy="376555"/>
                <wp:effectExtent l="0" t="0" r="0" b="0"/>
                <wp:wrapNone/>
                <wp:docPr id="1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
                          </w:p>
                        </w:txbxContent>
                      </wps:txbx>
                      <wps:bodyPr lIns="45720" tIns="91440" rIns="45720" bIns="91440" anchor="ctr" vert="vert" upright="1">
                        <a:noAutofit/>
                      </wps:bodyPr>
                    </wps:wsp>
                  </a:graphicData>
                </a:graphic>
              </wp:anchor>
            </w:drawing>
          </mc:Choice>
          <mc:Fallback>
            <w:pict>
              <v:shape id="shape_0" stroked="f" o:allowincell="f" style="position:absolute;margin-left:421.25pt;margin-top:781.35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
                    </w:p>
                  </w:txbxContent>
                </v:textbox>
                <w10:wrap type="none"/>
              </v:shape>
            </w:pict>
          </mc:Fallback>
        </mc:AlternateContent>
      </w:r>
    </w:p>
    <w:sectPr>
      <w:headerReference w:type="even" r:id="rId22"/>
      <w:headerReference w:type="default" r:id="rId23"/>
      <w:headerReference w:type="first" r:id="rId24"/>
      <w:footerReference w:type="default" r:id="rId25"/>
      <w:footerReference w:type="first" r:id="rId26"/>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Wingdings 3">
    <w:charset w:val="01" w:characterSet="utf-8"/>
    <w:family w:val="roman"/>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2"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2"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6"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7"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8"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8"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10"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9"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2"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0"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58"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14"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0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5"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106"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17"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08"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8"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20"/>
      <w:gridCol w:w="2952"/>
      <w:gridCol w:w="2384"/>
      <w:gridCol w:w="2392"/>
    </w:tblGrid>
    <w:tr>
      <w:trPr>
        <w:trHeight w:val="283" w:hRule="atLeast"/>
      </w:trPr>
      <w:tc>
        <w:tcPr>
          <w:tcW w:w="2020" w:type="dxa"/>
          <w:vMerge w:val="restart"/>
          <w:tcBorders>
            <w:top w:val="nil"/>
            <w:start w:val="nil"/>
            <w:bottom w:val="nil"/>
            <w:end w:val="nil"/>
          </w:tcBorders>
        </w:tcPr>
        <w:p>
          <w:pPr>
            <w:pStyle w:val="Normal"/>
            <w:widowControl/>
            <w:spacing w:lineRule="auto" w:line="240" w:before="0" w:after="0"/>
            <w:jc w:val="both"/>
            <w:rPr>
              <w:rFonts w:ascii="Arial" w:hAnsi="Arial" w:cs="Arial"/>
              <w:smallCaps/>
              <w:sz w:val="36"/>
              <w:szCs w:val="36"/>
            </w:rPr>
          </w:pPr>
          <w:r>
            <w:rPr>
              <w:rFonts w:eastAsia="Calibri"/>
              <w:kern w:val="0"/>
              <w:lang w:val="fr-FR" w:eastAsia="en-US" w:bidi="ar-SA"/>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84"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9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r>
    <w:tr>
      <w:trPr>
        <w:trHeight w:val="60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80"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2952"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84"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92"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20" w:type="dxa"/>
          <w:vMerge w:val="continue"/>
          <w:tcBorders>
            <w:top w:val="nil"/>
            <w:start w:val="nil"/>
            <w:bottom w:val="nil"/>
            <w:end w:val="nil"/>
          </w:tcBorders>
          <w:shd w:color="auto" w:fill="auto" w:val="clear"/>
        </w:tcPr>
        <w:p>
          <w:pPr>
            <w:pStyle w:val="Normal"/>
            <w:widowControl/>
            <w:spacing w:lineRule="auto" w:line="240" w:before="0" w:after="0"/>
            <w:jc w:val="start"/>
            <w:rPr>
              <w:rFonts w:ascii="Arial" w:hAnsi="Arial" w:cs="Arial"/>
              <w:sz w:val="2"/>
              <w:szCs w:val="2"/>
              <w:lang w:eastAsia="fr-FR"/>
            </w:rPr>
          </w:pPr>
          <w:r>
            <w:rPr>
              <w:rFonts w:eastAsia="Calibri" w:cs="Arial" w:ascii="Arial" w:hAnsi="Arial"/>
              <w:kern w:val="0"/>
              <w:sz w:val="2"/>
              <w:szCs w:val="2"/>
              <w:lang w:val="fr-FR" w:eastAsia="fr-FR" w:bidi="ar-SA"/>
            </w:rPr>
          </w:r>
        </w:p>
      </w:tc>
      <w:tc>
        <w:tcPr>
          <w:tcW w:w="295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84"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9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20"/>
      <w:gridCol w:w="2952"/>
      <w:gridCol w:w="2384"/>
      <w:gridCol w:w="2392"/>
    </w:tblGrid>
    <w:tr>
      <w:trPr>
        <w:trHeight w:val="283" w:hRule="atLeast"/>
      </w:trPr>
      <w:tc>
        <w:tcPr>
          <w:tcW w:w="2020" w:type="dxa"/>
          <w:vMerge w:val="restart"/>
          <w:tcBorders>
            <w:top w:val="nil"/>
            <w:start w:val="nil"/>
            <w:bottom w:val="nil"/>
            <w:end w:val="nil"/>
          </w:tcBorders>
        </w:tcPr>
        <w:p>
          <w:pPr>
            <w:pStyle w:val="Normal"/>
            <w:widowControl/>
            <w:spacing w:lineRule="auto" w:line="240" w:before="0" w:after="0"/>
            <w:jc w:val="both"/>
            <w:rPr>
              <w:rFonts w:ascii="Arial" w:hAnsi="Arial" w:cs="Arial"/>
              <w:smallCaps/>
              <w:sz w:val="36"/>
              <w:szCs w:val="36"/>
            </w:rPr>
          </w:pPr>
          <w:r>
            <w:rPr>
              <w:rFonts w:eastAsia="Calibri"/>
              <w:kern w:val="0"/>
              <w:lang w:val="fr-FR" w:eastAsia="en-US" w:bidi="ar-SA"/>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84"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9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r>
    <w:tr>
      <w:trPr>
        <w:trHeight w:val="60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80"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2952"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84"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92"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20" w:type="dxa"/>
          <w:vMerge w:val="continue"/>
          <w:tcBorders>
            <w:top w:val="nil"/>
            <w:start w:val="nil"/>
            <w:bottom w:val="nil"/>
            <w:end w:val="nil"/>
          </w:tcBorders>
          <w:shd w:color="auto" w:fill="auto" w:val="clear"/>
        </w:tcPr>
        <w:p>
          <w:pPr>
            <w:pStyle w:val="Normal"/>
            <w:widowControl/>
            <w:spacing w:lineRule="auto" w:line="240" w:before="0" w:after="0"/>
            <w:jc w:val="start"/>
            <w:rPr>
              <w:rFonts w:ascii="Arial" w:hAnsi="Arial" w:cs="Arial"/>
              <w:sz w:val="2"/>
              <w:szCs w:val="2"/>
              <w:lang w:eastAsia="fr-FR"/>
            </w:rPr>
          </w:pPr>
          <w:r>
            <w:rPr>
              <w:rFonts w:eastAsia="Calibri" w:cs="Arial" w:ascii="Arial" w:hAnsi="Arial"/>
              <w:kern w:val="0"/>
              <w:sz w:val="2"/>
              <w:szCs w:val="2"/>
              <w:lang w:val="fr-FR" w:eastAsia="fr-FR" w:bidi="ar-SA"/>
            </w:rPr>
          </w:r>
        </w:p>
      </w:tc>
      <w:tc>
        <w:tcPr>
          <w:tcW w:w="295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84"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9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header" Target="header13.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glossaryDocument" Target="glossary/document.xml"/><Relationship Id="rId3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LibreOffice/26.2.3.2$Linux_X86_64 LibreOffice_project/d4d5ed47b6084125f28d269a5650105d54dde034</Application>
  <AppVersion>15.0000</AppVersion>
  <Pages>27</Pages>
  <Words>3534</Words>
  <Characters>21127</Characters>
  <CharactersWithSpaces>24463</CharactersWithSpaces>
  <Paragraphs>354</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2026-05-22T15:29:28Z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