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footer13.xml" ContentType="application/vnd.openxmlformats-officedocument.wordprocessingml.footer+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96" w:type="dxa"/>
        <w:jc w:val="start"/>
        <w:tblInd w:w="1668" w:type="dxa"/>
        <w:tblLayout w:type="fixed"/>
        <w:tblCellMar>
          <w:top w:w="28" w:type="dxa"/>
          <w:start w:w="108" w:type="dxa"/>
          <w:bottom w:w="0" w:type="dxa"/>
          <w:end w:w="108" w:type="dxa"/>
        </w:tblCellMar>
        <w:tblLook w:noHBand="0" w:noVBand="1" w:firstColumn="1" w:lastRow="0" w:lastColumn="0" w:firstRow="1" w:val="04a0"/>
      </w:tblPr>
      <w:tblGrid>
        <w:gridCol w:w="2345"/>
        <w:gridCol w:w="236"/>
        <w:gridCol w:w="5215"/>
      </w:tblGrid>
      <w:tr>
        <w:trPr/>
        <w:tc>
          <w:tcPr>
            <w:tcW w:w="2345" w:type="dxa"/>
            <w:tcBorders>
              <w:top w:val="nil"/>
              <w:start w:val="nil"/>
              <w:bottom w:val="nil"/>
              <w:end w:val="nil"/>
            </w:tcBorders>
          </w:tcPr>
          <w:p>
            <w:pPr>
              <w:pStyle w:val="Normal"/>
              <w:widowControl/>
              <w:suppressAutoHyphens w:val="true"/>
              <w:spacing w:lineRule="auto" w:line="240" w:before="0" w:after="0"/>
              <w:jc w:val="start"/>
              <w:rPr>
                <w:rFonts w:cs="Calibri" w:cstheme="minorHAnsi"/>
                <w:i/>
                <w:color w:val="D60093"/>
                <w:sz w:val="24"/>
                <w:szCs w:val="24"/>
              </w:rPr>
            </w:pPr>
            <w:r>
              <w:rPr>
                <w:rFonts w:cs="Calibri" w:cstheme="minorHAnsi"/>
                <w:i/>
                <w:color w:val="D60093"/>
                <w:sz w:val="24"/>
                <w:szCs w:val="24"/>
              </w:rPr>
            </w:r>
          </w:p>
        </w:tc>
        <w:tc>
          <w:tcPr>
            <w:tcW w:w="236"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Nom naissance"/>
                <w:tag w:val="Nom naissance"/>
                <w:id w:val="423775582"/>
                <w:placeholder>
                  <w:docPart w:val="D552A71AF2B2467AA62E2628BBD935C4"/>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d’usage</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Nom d'usage"/>
                <w:tag w:val="Nom d'usage"/>
                <w:id w:val="466088377"/>
                <w:placeholder>
                  <w:docPart w:val="858A3C3711734741B0C36646E3E36B3B"/>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Prénom"/>
                <w:tag w:val="Prénom"/>
                <w:id w:val="966778718"/>
                <w:placeholder>
                  <w:docPart w:val="E233C1B997304BB98D02CDBB35ACD1F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Christophe</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vMerge w:val="restart"/>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sdt>
              <w:sdtPr>
                <w:alias w:val="Adresse"/>
                <w:tag w:val="Adresse"/>
                <w:id w:val="-1351406819"/>
                <w:placeholder>
                  <w:docPart w:val="7E314413454C4D9885B239A9C6BB8220"/>
                </w:placeholder>
                <w:text/>
              </w:sdtPr>
              <w:sdtContent>
                <w:r>
                  <w:rPr>
                    <w:rFonts w:eastAsia="Calibri" w:cs=""/>
                    <w:kern w:val="0"/>
                    <w:sz w:val="22"/>
                    <w:szCs w:val="22"/>
                    <w:lang w:val="fr-FR" w:eastAsia="en-US" w:bidi="ar-SA"/>
                  </w:rPr>
                </w:r>
                <w:r>
                  <w:rPr>
                    <w:rFonts w:eastAsia="Calibri" w:cs=""/>
                    <w:kern w:val="0"/>
                    <w:sz w:val="22"/>
                    <w:szCs w:val="22"/>
                    <w:lang w:val="fr-FR" w:eastAsia="en-US" w:bidi="ar-SA"/>
                  </w:rPr>
                  <w:t>76510 Notre-Dame d'Aliermont</w:t>
                </w:r>
              </w:sdtContent>
            </w:sdt>
          </w:p>
        </w:tc>
      </w:tr>
      <w:tr>
        <w:trPr/>
        <w:tc>
          <w:tcPr>
            <w:tcW w:w="2345"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sz w:val="24"/>
                <w:szCs w:val="24"/>
              </w:rPr>
            </w:pPr>
            <w:r>
              <w:rPr>
                <w:rFonts w:cs="Calibri" w:cstheme="minorHAnsi"/>
                <w:i/>
                <w:color w:val="D60093"/>
                <w:sz w:val="24"/>
                <w:szCs w:val="24"/>
              </w:rPr>
            </w:r>
          </w:p>
        </w:tc>
        <w:tc>
          <w:tcPr>
            <w:tcW w:w="236"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cs="Calibri" w:cstheme="minorHAnsi" w:ascii="Wingdings 3" w:hAnsi="Wingdings 3"/>
                <w:color w:val="D60093"/>
                <w:sz w:val="12"/>
                <w:szCs w:val="12"/>
                <w:lang w:eastAsia="fr-FR"/>
              </w:rPr>
            </w:r>
          </w:p>
        </w:tc>
        <w:tc>
          <w:tcPr>
            <w:tcW w:w="5215" w:type="dxa"/>
            <w:vMerge w:val="continue"/>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cs="Calibri" w:cstheme="minorHAnsi"/>
                <w:b/>
                <w:color w:themeColor="text1" w:themeTint="bf" w:val="404040"/>
                <w:sz w:val="32"/>
                <w:szCs w:val="32"/>
              </w:rPr>
            </w:pPr>
            <w:sdt>
              <w:sdtPr>
                <w:alias w:val="Titre pro"/>
                <w:tag w:val="Titre pro"/>
                <w:id w:val="-837616293"/>
                <w:placeholder>
                  <w:docPart w:val="2535ABE7E1F24C28B2DC27BDE0D19C68"/>
                </w:placeholder>
                <w:text/>
              </w:sdtPr>
              <w:sdtContent>
                <w:r>
                  <w:rPr>
                    <w:rFonts w:eastAsia="Calibri" w:cs="Calibri" w:cstheme="minorHAnsi"/>
                    <w:color w:themeColor="text1" w:themeTint="bf" w:val="404040"/>
                    <w:kern w:val="0"/>
                    <w:sz w:val="32"/>
                    <w:szCs w:val="32"/>
                    <w:lang w:val="fr-FR" w:eastAsia="fr-FR" w:bidi="ar-SA"/>
                  </w:rPr>
                </w:r>
                <w:r>
                  <w:rPr>
                    <w:rFonts w:eastAsia="Calibri" w:cs="Calibri" w:cstheme="minorHAnsi"/>
                    <w:color w:themeColor="text1" w:themeTint="bf" w:val="404040"/>
                    <w:kern w:val="0"/>
                    <w:sz w:val="32"/>
                    <w:szCs w:val="32"/>
                    <w:lang w:val="fr-FR" w:eastAsia="fr-FR" w:bidi="ar-SA"/>
                  </w:rPr>
                  <w:t>Concepteur Développeur d’Applications</w:t>
                </w:r>
              </w:sdtContent>
            </w:sdt>
          </w:p>
        </w:tc>
      </w:tr>
      <w:tr>
        <w:trPr>
          <w:trHeight w:val="1417"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spacing w:before="0" w:after="200"/>
        <w:rPr>
          <w:rFonts w:cs="Calibri" w:cstheme="minorHAnsi"/>
          <w:b/>
          <w:color w:themeColor="text1" w:themeTint="bf" w:val="404040"/>
          <w:sz w:val="28"/>
          <w:szCs w:val="28"/>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4"/>
        <w:gridCol w:w="2837"/>
        <w:gridCol w:w="6127"/>
        <w:gridCol w:w="394"/>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24"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4"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82"/>
        <w:gridCol w:w="8080"/>
        <w:gridCol w:w="428"/>
        <w:gridCol w:w="992"/>
      </w:tblGrid>
      <w:tr>
        <w:trPr/>
        <w:tc>
          <w:tcPr>
            <w:tcW w:w="9782" w:type="dxa"/>
            <w:gridSpan w:val="4"/>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4"/>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8362"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428"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5</w:t>
            </w:r>
          </w:p>
        </w:tc>
        <w:tc>
          <w:tcPr>
            <w:tcW w:w="992"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c>
          <w:tcPr>
            <w:tcW w:w="282"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Authentification JWT, cookies HTTP-only, middleware Next.js et sessions Redis  </w:t>
              <w:tab/>
              <w:t>5</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5</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Validation des données et protection des routes API avec Zod et middleware Next.js  </w:t>
              <w:tab/>
              <w:t>7</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7</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Système de réactions universel posts/stories/commentaires — 11 commits  </w:t>
              <w:tab/>
              <w:t>9</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9</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rHeight w:val="170" w:hRule="atLeast"/>
        </w:trPr>
        <w:tc>
          <w:tcPr>
            <w:tcW w:w="282" w:type="dxa"/>
            <w:tcBorders>
              <w:top w:val="nil"/>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val="D60093"/>
                <w:sz w:val="12"/>
                <w:szCs w:val="12"/>
                <w:lang w:eastAsia="fr-FR"/>
              </w:rPr>
            </w:pPr>
            <w:r>
              <w:rPr>
                <w:rFonts w:cs="Calibri" w:cstheme="minorHAnsi"/>
                <w:color w:val="D60093"/>
                <w:sz w:val="12"/>
                <w:szCs w:val="12"/>
                <w:lang w:eastAsia="fr-FR"/>
              </w:rPr>
            </w:r>
          </w:p>
        </w:tc>
        <w:tc>
          <w:tcPr>
            <w:tcW w:w="8080" w:type="dxa"/>
            <w:tcBorders>
              <w:top w:val="nil"/>
              <w:start w:val="nil"/>
              <w:bottom w:val="nil"/>
              <w:end w:val="nil"/>
            </w:tcBorders>
          </w:tcPr>
          <w:p>
            <w:pPr>
              <w:pStyle w:val="Normal"/>
              <w:widowControl/>
              <w:tabs>
                <w:tab w:val="clear" w:pos="709"/>
                <w:tab w:val="left" w:pos="34" w:leader="none"/>
                <w:tab w:val="left" w:pos="3522"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428" w:type="dxa"/>
            <w:tcBorders>
              <w:top w:val="nil"/>
              <w:start w:val="nil"/>
              <w:bottom w:val="nil"/>
              <w:end w:val="nil"/>
            </w:tcBorders>
            <w:vAlign w:val="bottom"/>
          </w:tcPr>
          <w:p>
            <w:pPr>
              <w:pStyle w:val="Normal"/>
              <w:widowControl/>
              <w:suppressAutoHyphens w:val="true"/>
              <w:spacing w:lineRule="auto" w:line="240" w:before="0" w:after="0"/>
              <w:jc w:val="center"/>
              <w:rPr>
                <w:rFonts w:cs="Calibri" w:cstheme="minorHAnsi"/>
                <w:color w:themeColor="text1" w:themeTint="bf" w:val="404040"/>
                <w:sz w:val="12"/>
                <w:szCs w:val="12"/>
              </w:rPr>
            </w:pPr>
            <w:r>
              <w:rPr>
                <w:rFonts w:cs="Calibri" w:cstheme="minorHAnsi"/>
                <w:color w:themeColor="text1" w:themeTint="bf" w:val="404040"/>
                <w:sz w:val="12"/>
                <w:szCs w:val="12"/>
              </w:rPr>
            </w:r>
          </w:p>
        </w:tc>
        <w:tc>
          <w:tcPr>
            <w:tcW w:w="992" w:type="dxa"/>
            <w:tcBorders>
              <w:top w:val="single" w:sz="8" w:space="0" w:color="F2F2F2"/>
              <w:start w:val="nil"/>
              <w:bottom w:val="nil"/>
              <w:end w:val="nil"/>
            </w:tcBorders>
            <w:vAlign w:val="center"/>
          </w:tcPr>
          <w:p>
            <w:pPr>
              <w:pStyle w:val="Normal"/>
              <w:widowControl/>
              <w:suppressAutoHyphens w:val="true"/>
              <w:spacing w:lineRule="auto" w:line="240" w:before="0" w:after="0"/>
              <w:jc w:val="start"/>
              <w:rPr>
                <w:rFonts w:cs="Calibri" w:cstheme="minorHAnsi"/>
                <w:color w:themeColor="text1" w:themeTint="bf" w:val="404040"/>
                <w:sz w:val="12"/>
                <w:szCs w:val="12"/>
                <w:lang w:eastAsia="fr-FR"/>
              </w:rPr>
            </w:pPr>
            <w:r>
              <w:rPr>
                <w:rFonts w:cs="Calibri" w:cstheme="minorHAnsi"/>
                <w:color w:themeColor="text1" w:themeTint="bf" w:val="404040"/>
                <w:sz w:val="12"/>
                <w:szCs w:val="12"/>
                <w:lang w:eastAsia="fr-FR"/>
              </w:rPr>
            </w:r>
          </w:p>
        </w:tc>
      </w:tr>
      <w:tr>
        <w:trPr/>
        <w:tc>
          <w:tcPr>
            <w:tcW w:w="8362"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428"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11</w:t>
            </w:r>
          </w:p>
        </w:tc>
        <w:tc>
          <w:tcPr>
            <w:tcW w:w="992"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c>
          <w:tcPr>
            <w:tcW w:w="282"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Conception de l'architecture full-stack en couches et schéma Prisma (18 modèles)  </w:t>
              <w:tab/>
              <w:t>11</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11</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Messagerie et notifications temps réel — Server-Sent Events et Upstash Redis  </w:t>
              <w:tab/>
              <w:t>13</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13</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Design system dark mode, thème provider et composant de création de posts multi-médias  </w:t>
              <w:tab/>
              <w:t>15</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15</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0" w:after="0"/>
              <w:jc w:val="center"/>
              <w:rPr>
                <w:rFonts w:cs="Calibri" w:cstheme="minorHAnsi"/>
                <w:color w:themeColor="text1" w:themeTint="bf" w:val="404040"/>
                <w:sz w:val="12"/>
                <w:szCs w:val="12"/>
              </w:rPr>
            </w:pPr>
            <w:r>
              <w:rPr>
                <w:rFonts w:cs="Calibri" w:cstheme="minorHAnsi"/>
                <w:color w:themeColor="text1" w:themeTint="bf" w:val="404040"/>
                <w:sz w:val="12"/>
                <w:szCs w:val="12"/>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r>
      <w:tr>
        <w:trPr/>
        <w:tc>
          <w:tcPr>
            <w:tcW w:w="8362"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428"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17</w:t>
            </w:r>
          </w:p>
        </w:tc>
        <w:tc>
          <w:tcPr>
            <w:tcW w:w="992"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c>
          <w:tcPr>
            <w:tcW w:w="282"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Containerisation Docker multi-stage et pipeline CI/CD GitHub Actions  </w:t>
              <w:tab/>
              <w:t>17</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17</w:t>
            </w:r>
          </w:p>
        </w:tc>
        <w:tc>
          <w:tcPr>
            <w:tcW w:w="992" w:type="dxa"/>
            <w:tcBorders>
              <w:top w:val="nil"/>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Déploiement en production sur Vercel avec PostgreSQL Neon et migrations Prisma  </w:t>
              <w:tab/>
              <w:t>19</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19</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Monitoring, observabilité et documentation opérationnelle du déploiement  </w:t>
              <w:tab/>
              <w:t>21</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21</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282"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080" w:type="dxa"/>
            <w:tcBorders>
              <w:top w:val="nil"/>
              <w:start w:val="nil"/>
              <w:bottom w:val="nil"/>
              <w:end w:val="nil"/>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0" w:after="0"/>
              <w:jc w:val="center"/>
              <w:rPr>
                <w:rFonts w:cs="Calibri" w:cstheme="minorHAnsi"/>
                <w:color w:themeColor="text1" w:themeTint="bf" w:val="404040"/>
                <w:sz w:val="12"/>
                <w:szCs w:val="12"/>
              </w:rPr>
            </w:pPr>
            <w:r>
              <w:rPr>
                <w:rFonts w:cs="Calibri" w:cstheme="minorHAnsi"/>
                <w:color w:themeColor="text1" w:themeTint="bf" w:val="404040"/>
                <w:sz w:val="12"/>
                <w:szCs w:val="12"/>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23</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24</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25</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r>
        <w:trPr/>
        <w:tc>
          <w:tcPr>
            <w:tcW w:w="8362"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428"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26</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uppressAutoHyphens w:val="true"/>
              <w:spacing w:lineRule="auto" w:line="240" w:before="120" w:after="0"/>
              <w:jc w:val="start"/>
              <w:rPr>
                <w:rFonts w:cs="Calibri" w:cstheme="minorHAnsi"/>
                <w:color w:themeColor="text1" w:themeTint="bf" w:val="404040"/>
              </w:rPr>
            </w:pPr>
            <w:r>
              <w:rPr>
                <w:rFonts w:cs="Calibri" w:cstheme="minorHAnsi"/>
                <w:color w:themeColor="text1" w:themeTint="bf" w:val="404040"/>
              </w:rPr>
            </w:r>
          </w:p>
        </w:tc>
      </w:tr>
    </w:tbl>
    <w:p>
      <w:pPr>
        <w:pStyle w:val="Normal"/>
        <w:tabs>
          <w:tab w:val="clear" w:pos="709"/>
          <w:tab w:val="left" w:pos="567" w:leader="none"/>
          <w:tab w:val="right" w:pos="9072" w:leader="dot"/>
        </w:tabs>
        <w:spacing w:lineRule="auto" w:line="240" w:before="0" w:after="120"/>
        <w:rPr>
          <w:rFonts w:cs="Calibri" w:cstheme="minorHAnsi"/>
          <w:color w:themeColor="text1" w:themeTint="bf" w:val="404040"/>
        </w:rPr>
      </w:pPr>
      <w:r>
        <w:rPr>
          <w:rFonts w:cs="Calibri" w:cstheme="minorHAnsi"/>
          <w:color w:themeColor="text1" w:themeTint="bf" w:val="404040"/>
        </w:rPr>
      </w:r>
    </w:p>
    <w:p>
      <w:pPr>
        <w:pStyle w:val="Normal"/>
        <w:spacing w:before="0" w:after="200"/>
        <w:rPr>
          <w:rFonts w:cs="Calibri" w:cstheme="minorHAnsi"/>
          <w:color w:themeColor="text1" w:themeTint="bf" w:val="404040"/>
        </w:r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5"/>
        <w:gridCol w:w="48"/>
        <w:gridCol w:w="521"/>
        <w:gridCol w:w="1180"/>
        <w:gridCol w:w="142"/>
        <w:gridCol w:w="567"/>
        <w:gridCol w:w="4396"/>
      </w:tblGrid>
      <w:tr>
        <w:trPr>
          <w:trHeight w:val="680"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cs="Calibri" w:cstheme="minorHAnsi"/>
                <w:b/>
                <w:color w:val="D60093"/>
                <w:sz w:val="36"/>
                <w:szCs w:val="36"/>
              </w:rPr>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rPr>
            </w:pPr>
            <w:sdt>
              <w:sdtPr>
                <w:alias w:val="Intitulé de l'activité"/>
                <w:tag w:val="Intitulé de l'activité"/>
                <w:id w:val="2113311891"/>
                <w:placeholder>
                  <w:docPart w:val="05516317A58C4C669ED7E573BAEACD31"/>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Développer une application sécurisée (authentification JWT/Redis, validation Zod, système de réactions)</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r>
                <w:r>
                  <w:rPr>
                    <w:rFonts w:eastAsia="Calibri" w:cs=""/>
                    <w:kern w:val="0"/>
                    <w:sz w:val="22"/>
                    <w:szCs w:val="22"/>
                    <w:lang w:val="fr-FR" w:eastAsia="en-US" w:bidi="ar-SA"/>
                  </w:rPr>
                  <w:t>Authentification JWT, cookies HTTP-only, middleware Next.js et sessions Redis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conçu et développé le système d'authentification complet du réseau social : inscription, connexion, déconnexion, protection des routes, et intégration OAuth Google. Cette responsabilité couvrait la chaîne entière de sécurité, de la validation des données d'entrée jusqu'à la protection de chaque requête API. Route d'inscription /api/public/auth/register : validation Zod (email, mot de passe min. 8 caractères, unicité), hachage bcrypt cost factor 12, création de l'utilisateur via Prisma (model User), génération du JWT initial et placement en cookie HTTP-only. Route de connexion /api/public/auth/login : vérification de l'existence du compte, comparaison bcrypt, génération JWT signé avec jose (SignJWT, secret JWT_SECRET), cookie HTTP-only Secure SameSite=Lax maxAge 86400, création d'une entrée session en Redis. Middleware Next.js (src/middleware.ts) : interception de toutes les requêtes /api/private/**, vérification JWT (jose jwtVerify), extraction du userId et injection dans le header x-user-id, réponse 401 pour token absent ou invalide, passthrough pour les routes publiques. Sessions Redis : clé session:{uuid} -&gt; userId avec TTL 24h ; suppression explicite à la déconnexion pour l'invalidation immédiate sans attendre l'expiration du JWT. OAuth Google : route de redirection avec state anti-CSRF signé, callback avec récupération profil Google, upsert Prisma de l'utilisateur, génération JWT local. Extrait — génération JWT et placement en cookie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r>
                <w:r>
                  <w:rPr>
                    <w:rFonts w:eastAsia="Calibri" w:cs=""/>
                    <w:kern w:val="0"/>
                    <w:sz w:val="22"/>
                    <w:szCs w:val="22"/>
                    <w:lang w:val="fr-FR" w:eastAsia="en-US" w:bidi="ar-SA"/>
                  </w:rPr>
                  <w:t>Next.js 15 App Router — route handlers POST, middleware Edge Runtime jose — JWT compatible Edge Runtime (SignJWT, jwtVerify), contrairement à jsonwebtoken qui nécessite Node.js bcrypt — hachage avec cost factor 12 (≈200ms/hash, résistant brute-force) Upstash Redis (@upstash/redis) — sessions côté serveur, API REST compatible serverless Prisma ORM — requêtes User (findUnique, create, upsert) Zod — schémas loginSchema et registerSchema avec messages d'erreur localisés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Développement en autonomie au sein d'une équipe de 6. Les décisions architecturales (JWT HTTP-only vs localStorage, Redis pour l'invalidation) ont fait l'objet de discussions collectives documentées dans les issues GitHub. Les revues de code ont amélioré le code : ajout de SameSite=Lax (CSRF), centralisation de la création du cookie dans un helper réutilisable.</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Authentification &amp; Sécurité</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Cookie HTTP-only vs localStorage Le localStorage est accessible depuis JavaScript client et vulnérable aux attaques XSS. Un cookie HTTP-only est invisible du JavaScript, même en cas d'injection de code malveillant. L'attribut SameSite=Lax protège contre le CSRF en bloquant l'envoi du cookie depuis des sites tiers. Ces choix sont conformes à l'OWASP Authentication Cheat Sheet (A07:2021 — Identification and Authentication Failures). Redis pour l'invalidation des sessions Un JWT stateless est valide jusqu'à expiration, même après déconnexion. Sans Redis, une session volée resterait exploitable 24h. Avec Redis, la déconnexion supprime la clé et le middleware rejette immédiatement le token, même cryptographiquement valide. Ce mécanisme est documenté dans la PR #118. Compatibilité Edge Runtime Le middleware Next.js s'exécute dans un contexte Edge (pas de Node.js complet), incompatible avec jsonwebtoken standard. La migration vers jose (100% Web Crypto API) a nécessité de réécrire les helpers de signature en utilisant TextEncoder et crypto.subtle. La gestion des cookies Secure a également requis un paramétrage dynamique selon NODE_ENV (HTTP en dev, HTTPS en prod Vercel).</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r>
                <w:r>
                  <w:rPr>
                    <w:rFonts w:eastAsia="Calibri" w:cs=""/>
                    <w:kern w:val="0"/>
                    <w:sz w:val="22"/>
                    <w:szCs w:val="22"/>
                    <w:lang w:val="fr-FR" w:eastAsia="en-US" w:bidi="ar-SA"/>
                  </w:rPr>
                  <w:t>Validation des données et protection des routes API avec Zod et middleware Next.js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r>
                <w:r>
                  <w:rPr>
                    <w:rFonts w:eastAsia="Calibri" w:cs=""/>
                    <w:kern w:val="0"/>
                    <w:sz w:val="22"/>
                    <w:szCs w:val="22"/>
                    <w:lang w:val="fr-FR" w:eastAsia="en-US" w:bidi="ar-SA"/>
                  </w:rPr>
                  <w:t>En complément de l'authentification, j'ai mis en place une stratégie de validation et de contrôle d'accès couvrant l'ensemble des endpoints API du projet. Bibliothèque de 36 schémas Zod partagés (src/lib/schemas/) : User (inscription, profil), Post, Comment, Reaction, Story, Group, GroupMember, Message, Notification. Chaque schéma définit types, contraintes (longueur, format email/URL, enum), et messages d'erreur localisés. Validation systématique dans les route handlers : safeParse avant tout traitement métier, retour 400 avec rapport d'erreurs structuré en cas d'échec. Contrôle d'accès par ressource (ownership) : vérification que l'userId du token correspond à l'auteur de la ressource avant modification. Retour 403 Forbidden (authentifié mais non autorisé) et non 401 (non authentifié) — distinction sémantique importante. Helpers de réponse standardisés (src/lib/server/api/response.ts) : createSuccessResponse, createErrorResponse, createValidationError, createUnauthorized, createForbidden, createNotFound — format JSON uniforme { success, data?, error: { code, message, details? } }. Extrait — route handler protégé avec validation Zod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Zod (TypeScript-first) — safeParse, z.infer&lt;typeof schema&gt;, flatten().fieldErrors Next.js middleware — interception uniforme, injection header x-user-id Prisma — ownership check (findUnique avec authorId: userId) HTTP status codes sémantiques — 200, 201, 400, 401, 403, 404, 409, 500</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Coordination avec les 6 membres de l'équipe pour aligner les structures de données front/back. Chaque développeur a appliqué les patterns dans ses routes, avec revues croisées. L'audit des routes existantes a révélé 4 routes non protégées, toutes corrigées avant mise en production.</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Couche API &amp; Sécurité des données</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r>
                <w:r>
                  <w:rPr>
                    <w:rFonts w:eastAsia="Calibri" w:cs=""/>
                    <w:kern w:val="0"/>
                    <w:sz w:val="22"/>
                    <w:szCs w:val="22"/>
                    <w:lang w:val="fr-FR" w:eastAsia="en-US" w:bidi="ar-SA"/>
                  </w:rPr>
                  <w:t>Validation isomorphique avec Zod L'avantage principal de Zod est l'inférence de types TypeScript : z.infer&lt;typeof postCreateSchema&gt; produit automatiquement le type correspondant. Le même schéma peut être utilisé dans react-hook-form côté client (zodResolver) et dans le route handler côté serveur. Quand un champ est modifié dans le schéma, TypeScript signale immédiatement les usages incohérents dans tout le code. Bilan sécurité L'audit des routes avant mise en production a identifié 4 vulnérabilités : une route de recherche d'utilisateurs exposant les profils privés sans authentification, une route d'upload sans vérification de la taille des fichiers (risque de déni de service), et deux routes de modification sans contrôle d'ownership. Ces failles ont été corrigées. Ce travail illustre la valeur d'une approche security-first systématique.</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r>
                <w:r>
                  <w:rPr>
                    <w:rFonts w:eastAsia="Calibri" w:cs=""/>
                    <w:kern w:val="0"/>
                    <w:sz w:val="22"/>
                    <w:szCs w:val="22"/>
                    <w:lang w:val="fr-FR" w:eastAsia="en-US" w:bidi="ar-SA"/>
                  </w:rPr>
                  <w:t>Système de réactions universel posts/stories/commentaires — contribution personnelle majeure (11 commits)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 système de réactions est ma contribution personnelle la plus complète : de la conception du modèle Prisma jusqu'aux composants React avec mise à jour temps réel. Il permet aux utilisateurs d'exprimer 8 types de réactions sur trois types de contenus. Conception du modèle Reaction dans prisma/schema.prisma : table unique avec champs optionnels postId?, storyId?, commentId? et trois contraintes @@unique composites garantissant l'unicité côté base de données. Relation cascade (onDelete: Cascade) sur tous les parents pour nettoyer les réactions orphelines. Endpoints API : POST /api/private/reaction (upsert — créer, modifier ou supprimer selon le type) ; DELETE /api/private/reaction/:id. La logique upsert gère l'idempotence : même type → suppression de la réaction, type différent → mise à jour. Composants React : ReactionButton (emoji courant ou pouce par défaut), ReactionPicker (popup 8 types au survol), ReactionCount (total par type avec tooltip). Props distinctes postId?, storyId?, commentId? pour les trois types de contenus. Temps réel (commit 0ca9588) : après action de l'utilisateur, mise à jour optimiste de l'UI + resync via endpoint SSE dédié propageant les nouvelles réactions à tous les clients connectés visualisant le même post. Refacto likeCache → useState (commit 98ba457) : remplacement du singleton partagé par un état local par composant pour éviter les effets de bord entre instances multiples du même composant. UX (commits e28ff5a, f0371ae, 931065b) : positionnement du popup pour éviter les débordements viewport, fermeture au clic extérieur, délai d'apparition au survol. Extrait — modèle Prisma avec contraintes d'unicité composites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Prisma ORM — modèle Reaction, upsert, groupBy pour les counts par type Next.js Route Handlers — CRUD réactions avec validation Zod (reactionSchema) React — useState local (refacto du singleton), useEffect pour synchronisation TypeScript — typage strict props (ReactionType enum, counts Record&lt;ReactionType, number&gt;) SSE (Server-Sent Events) — propagation temps réel des nouvelles réactions Tailwind CSS — positionnement popup, animations hover</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Développement entièrement en autonomie — 11 commits du 8 au 28 juillet 2025 (158d8ee, b140030, bd56f13, 98ba457, ac9e7f8, 2356107, 1553b17, e28ff5a, 0ca9588, f0371ae, 931065b). Revues de code portant sur l'optimisation des requêtes Prisma (groupBy à la place de plusieurs count séparés) et l'UX du popup.</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Système de réactions universel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Justification du modèle de données Trois architectures étaient envisageables : (1) trois tables séparées PostReaction/StoryReaction/CommentReaction — duplication de logique API ; (2) table polymorphique (type + targetId générique) — perte de l'intégrité référentielle ; (3) table unique avec trois clés étrangères optionnelles — retenue car elle combine intégrité référentielle PostgreSQL native (clés étrangères avec cascade) et simplicité (une seule table à requêter). Les contraintes @@unique composites sont appliquées au niveau de la base de données, pas seulement dans la logique applicative. Une double réaction déclencherait une erreur Prisma P2002 même si la vérification applicative était contournée — defense-in-depth. Évolution architecturale : du singleton au useState L'implémentation initiale utilisait likeCache.ts, un module singleton stockant les états de réaction globalement. Ce pattern causait des effets de bord lors du rendu de plusieurs instances du même composant : modifier la réaction d'un post dans le feed se reflétait incorrectement sur le même post affiché ailleurs. La migration vers useState local a résolu le problème en isolant l'état par instance de composant — un principe fondamental de React.</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5"/>
        <w:gridCol w:w="48"/>
        <w:gridCol w:w="521"/>
        <w:gridCol w:w="1180"/>
        <w:gridCol w:w="142"/>
        <w:gridCol w:w="567"/>
        <w:gridCol w:w="4396"/>
      </w:tblGrid>
      <w:tr>
        <w:trPr>
          <w:trHeight w:val="680"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sdt>
              <w:sdtPr>
                <w:dropDownList>
                  <w:listItem w:displayText="2" w:value="2"/>
                  <w:listItem w:displayText="3" w:value="3"/>
                  <w:listItem w:displayText="4" w:value="4"/>
                  <w:listItem w:displayText="5" w:value="5"/>
                </w:dropDownList>
              </w:sdtPr>
              <w:sdtContent>
                <w:r>
                  <w:rPr/>
                </w:r>
                <w:r>
                  <w:rPr/>
                  <w:t>2</w:t>
                </w:r>
              </w:sdtContent>
            </w:sdt>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rPr>
            </w:pPr>
            <w:sdt>
              <w:sdtPr>
                <w:alias w:val="Intitulé de l'activité"/>
                <w:tag w:val="Intitulé de l'activité"/>
                <w:id w:val="135233077"/>
                <w:placeholder>
                  <w:docPart w:val="D85852D8675446C4BAB86542E25672BC"/>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Concevoir et développer une application sécurisée organisée en couches (architecture, messagerie SSE, design system)</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Conception de l'architecture full-stack en couches et schéma de données Prisma (18 modèles)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participé à la conception de l'architecture du projet et pris en charge la modélisation du schéma Prisma, la production des diagrammes UML, et la documentation de l'architecture dans le dossier de certification. Architecture en 4 couches : présentation (composants React/Tailwind, pages App Router) ; logique métier (route handlers, server actions, helpers de sécurité) ; accès aux données (Prisma ORM, repository-like helpers) ; infrastructure (PostgreSQL, Redis, Cloudinary). Documentation Mermaid dans 04-developpement/. Schéma Prisma 18 modèles : User, Post, Comment, Reaction, Story, Follow, Group, GroupMember, GroupPost, Event, EventMember, Message, Conversation, GroupMessage, Notification, Session, RefreshToken, OAuthAccount. Définition des types (String, Int, Boolean, DateTime, enum), relations bidirectionnelles (@relation), index (@index), contraintes d'unicité et cascades de suppression. Diagrammes UML (03-conception/diagrammes-uml.md) : MCD (entités et cardinalités), MLD (clés étrangères, types logiques), MPD (DDL PostgreSQL), diagramme de classes simplifié (soutenance), diagramme de cas d'utilisation (acteurs Visiteur/Utilisateur/Admin), diagrammes de séquence (authentification, création de post, messagerie SSE). Gestion des migrations Prisma : fichiers versionnés (prisma/migrations/), distinction migrations additives (safe) vs destructives. Commit 06fe9e5 : alignement final UML ↔ schéma avant soutenance. Extrait — architecture des répertoires src/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Prisma ORM 5.x — schéma déclaratif, migrate dev/deploy, client TypeScript généré PostgreSQL 15 (Neon) — stockage relationnel avec contraintes, index, cascades Next.js 15 App Router — Server Components / Client Components / Route Handlers Mermaid — diagrammes d'architecture dans la documentation Markdown TypeScript — typage end-to-end via le client Prisma généré (PrismaClient)</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r>
                <w:r>
                  <w:rPr>
                    <w:rFonts w:eastAsia="Calibri" w:cs=""/>
                    <w:kern w:val="0"/>
                    <w:sz w:val="22"/>
                    <w:szCs w:val="22"/>
                    <w:lang w:val="fr-FR" w:eastAsia="en-US" w:bidi="ar-SA"/>
                  </w:rPr>
                  <w:t>Modélisation collective impliquant les 6 développeurs : chaque membre apportait ses besoins fonctionnels, j'ai synthétisé dans le schéma. Discussions sur la modélisation des groupes (rôles), les notifications polymorphiques, les many-to-many implicites vs tables de jointure explicites. J'ai rédigé le schéma final et les diagrammes.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Architecture &amp; Modélisation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r>
                <w:r>
                  <w:rPr>
                    <w:rFonts w:eastAsia="Calibri" w:cs=""/>
                    <w:kern w:val="0"/>
                    <w:sz w:val="22"/>
                    <w:szCs w:val="22"/>
                    <w:lang w:val="fr-FR" w:eastAsia="en-US" w:bidi="ar-SA"/>
                  </w:rPr>
                  <w:t>Server Components vs Client Components Next.js 15 App Router distingue Server Components (SC, exécutés côté serveur, accès direct à Prisma, zéro JavaScript envoyé au client) et Client Components (CC, exécutés côté browser, gèrent l'interactivité). Cette distinction impose une séparation des préoccupations similaire à MVC au niveau du composant. Dans le projet, les pages de feed et profil sont des SC récupérant les données en base, qui passent les données en props à des CC pour l'interactivité (likes, commentaires, navigation). Cascades de suppression Le choix onDelete: Cascade (ex. : supprimer un post supprime ses commentaires et réactions) vs onDelete: SetNull (ex. : supprimer un utilisateur rend ses commentaires anonymes) est une décision de conception importante. Ces choix sont documentés dans le schéma avec des commentaires explicatifs et reflètent des arbitrages métier précis sur le comportement attendu de l'application.</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r>
                <w:r>
                  <w:rPr>
                    <w:rFonts w:eastAsia="Calibri" w:cs=""/>
                    <w:kern w:val="0"/>
                    <w:sz w:val="22"/>
                    <w:szCs w:val="22"/>
                    <w:lang w:val="fr-FR" w:eastAsia="en-US" w:bidi="ar-SA"/>
                  </w:rPr>
                  <w:t>Messagerie et notifications temps réel — Server-Sent Events et Upstash Redis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conçu et développé le système de messagerie instantanée et de notifications en temps réel, en résolvant le défi principal : implémenter du temps réel dans une architecture serverless sans serveur longue durée. Analyse des options : WebSockets (Socket.io, incompatible serverless Vercel — connexions TCP longue durée impossibles), Long Polling (compatible mais latence élevée et charge serveur importante), SSE + Redis polling (compatible serverless, latence acceptable pour un réseau social). Choix documenté dans veille-technique.md. Flux de messagerie : émission via POST /api/private/chat/send (validation Zod, persistance Prisma, écriture Redis clé latest:chat:{userId} avec TTL 60s) ; réception via GET /api/private/chat/listen (ReadableStream SSE, polling Redis getdel toutes les 500ms). Endpoint SSE /api/private/chat/listen : ReadableStream Next.js App Router, boucle de polling Redis avec getdel (lecture+suppression atomique pour déduplication), envoi SSE au format data: {json}\n\n, gestion de la déconnexion via AbortController signal, cleanup à la fermeture du stream. Hook React useRealTimeChat : connexion EventSource, backoff exponentiel sur reconnexion, accumulation des messages dans useState, synchronisation avec le chargement initial REST. Application aux notifications : même architecture pour /api/private/notifications/listen, persistance en base (modèle Notification) + transit Redis. Extrait — endpoint SSE avec polling Redis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r>
                <w:r>
                  <w:rPr>
                    <w:rFonts w:eastAsia="Calibri" w:cs=""/>
                    <w:kern w:val="0"/>
                    <w:sz w:val="22"/>
                    <w:szCs w:val="22"/>
                    <w:lang w:val="fr-FR" w:eastAsia="en-US" w:bidi="ar-SA"/>
                  </w:rPr>
                  <w:t>Server-Sent Events — API HTTP native, flux unidirectionnel serveur → client ReadableStream (Next.js App Router) — SSE compatible Edge Runtime Upstash Redis getdel — atomique : lit et supprime la clé en une opération (déduplication sans race condition) Prisma — persistance durable (Conversation, Message, GroupMessage) EventSource (browser) — reconnexion automatique intégrée</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r>
                <w:r>
                  <w:rPr>
                    <w:rFonts w:eastAsia="Calibri" w:cs=""/>
                    <w:kern w:val="0"/>
                    <w:sz w:val="22"/>
                    <w:szCs w:val="22"/>
                    <w:lang w:val="fr-FR" w:eastAsia="en-US" w:bidi="ar-SA"/>
                  </w:rPr>
                  <w:t>Travail en binôme sur la partie temps réel. Revues portant sur la gestion des cas limites : messages perdus si client déconnecté (résolu par persistance en base avant Redis), doublons (résolu par getdel atomique), reconnexion SSE (gérée par EventSource nativement).</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Messagerie temps réel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r>
                <w:r>
                  <w:rPr>
                    <w:rFonts w:eastAsia="Calibri" w:cs=""/>
                    <w:kern w:val="0"/>
                    <w:sz w:val="22"/>
                    <w:szCs w:val="22"/>
                    <w:lang w:val="fr-FR" w:eastAsia="en-US" w:bidi="ar-SA"/>
                  </w:rPr>
                  <w:t>Pourquoi SSE plutôt que WebSockets Vercel exécute les route handlers comme des fonctions serverless éphémères. Une connexion WebSocket nécessite un serveur TCP longue durée incompatible. SSE fonctionne sur HTTP standard (Content-Type: text/event-stream) et peut être maintenu le temps de vie d'une fonction serverless. Redis joue le rôle de bus de messages entre instances : l'émetteur écrit dans Redis, le récepteur lit depuis Redis via SSE — coordination sans serveur centralisé. Performance et latence Le polling Redis toutes les 500ms induit une latence moyenne de 250ms (0 à 500ms) entre envoi et réception. Acceptable pour un réseau social. Une amélioration documentée serait d'utiliser Pusher ou Ably (services de messagerie gérés, compatibles serverless, latence &lt; 50ms) pour les cas nécessitant une réactivité plus élevée.</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r>
                <w:r>
                  <w:rPr>
                    <w:rFonts w:eastAsia="Calibri" w:cs=""/>
                    <w:kern w:val="0"/>
                    <w:sz w:val="22"/>
                    <w:szCs w:val="22"/>
                    <w:lang w:val="fr-FR" w:eastAsia="en-US" w:bidi="ar-SA"/>
                  </w:rPr>
                  <w:t>Design system dark mode, thème provider et composant de création de posts multi-médias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défini l'identité visuelle du projet Social Network et développé le composant de création de posts multi-médias, fonctionnalité centrale de l'application, permettant de combiner texte, images, vidéos et GIFs. Mise en place du design system (commits 5399254, 14f9b4a — mai 2025) : variables CSS custom properties dans globals.css — --bgLevel1 à --bgLevel5 (hiérarchie des fonds), --textPrimary/Secondary/Tertiary (niveaux de texte), --borderColor, --accentColor --blue40. Ces tokens sont les seules sources de couleur dans tous les composants. ThemeProvider avec next-themes : persistance du thème en localStorage, injection des variables CSS selon le thème actif (data-theme='dark'), support Server-Side Rendering (attribut defaultTheme depuis le serveur), switch de thème sans FOUC (Flash Of Unstyled Content). Application du thème : page de connexion (commit f3ba6c2), layout global (commit 9c3110b), sélecteur de GIFs adapté aux deux thèmes (commit 5218ef9). Composant CreatePostDialog (commits ef58dc6 à f7e9fb9) : dialog modal responsive, champ texte avec compteur de caractères, sélection multi-médias (images/vidéos) avec prévisualisation locale FileReader, insertion GIF via Giphy API, sélection d'emojis. Upload Cloudinary avec progression avant soumission. Gestion des médias multiples : prévisualisation FileReader (sans upload), grille responsive adaptée au nombre de médias (1, 2, 3, 4+), suppression individuelle, indicateur de progression, support JPEG/PNG/GIF/AVIF/MP4. Extrait — design tokens CSS dark mode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r>
                <w:r>
                  <w:rPr>
                    <w:rFonts w:eastAsia="Calibri" w:cs=""/>
                    <w:kern w:val="0"/>
                    <w:sz w:val="22"/>
                    <w:szCs w:val="22"/>
                    <w:lang w:val="fr-FR" w:eastAsia="en-US" w:bidi="ar-SA"/>
                  </w:rPr>
                  <w:t>CSS Custom Properties — design tokens pour la palette, point de modification unique next-themes — dark/light mode avec persistance localStorage et SSR sans FOUC Cloudinary SDK (@cloudinary/next) — upload médias, transformation à la volée, URLs CDN FileReader API — prévisualisation locale avant upload (sans requête réseau) Giphy API — recherche et insertion GIFs animés React Hook Form + Zod — formulaire de création de post avec validation</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r>
                <w:r>
                  <w:rPr>
                    <w:rFonts w:eastAsia="Calibri" w:cs=""/>
                    <w:kern w:val="0"/>
                    <w:sz w:val="22"/>
                    <w:szCs w:val="22"/>
                    <w:lang w:val="fr-FR" w:eastAsia="en-US" w:bidi="ar-SA"/>
                  </w:rPr>
                  <w:t>Design system défini en autonomie en mai 2025, adopté par toute l'équipe. Documentation des variables dans le README pour éviter les valeurs codées en dur. CreatePostDialog développé seul, revues portant sur l'accessibilité (labels ARIA, support clavier du modal) et la performance de l'upload.</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Design system &amp; Composants UI</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r>
                <w:r>
                  <w:rPr>
                    <w:rFonts w:eastAsia="Calibri" w:cs=""/>
                    <w:kern w:val="0"/>
                    <w:sz w:val="22"/>
                    <w:szCs w:val="22"/>
                    <w:lang w:val="fr-FR" w:eastAsia="en-US" w:bidi="ar-SA"/>
                  </w:rPr>
                  <w:t>Importance du design system en équipe Sans tokens de couleur partagés, chaque développeur utilise ses propres valeurs hexadécimales, résultant en une interface incohérente. Les variables CSS permettent de changer toute la palette en modifiant un seul fichier. La sémantique --bgLevel1 à --bgLevel5 (hiérarchie de fonds) est bien plus expressive que des valeurs de gris arbitraires et facilite la maintenance sur le long terme. Upload multi-médias et UX Le flux d'upload illustre la gestion asynchrone dans un composant complexe : sélection de fichiers → prévisualisation locale immédiate (FileReader, zéro latence réseau) → upload parallèle sur Cloudinary (Promise.all) au moment de la publication → création du post en base avec les URLs CDN retournées. Ce flux à deux étapes découple la prévisualisation de l'upload et offre une meilleure UX en cas d'échec partiel d'un fichier.</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5"/>
        <w:gridCol w:w="48"/>
        <w:gridCol w:w="521"/>
        <w:gridCol w:w="1180"/>
        <w:gridCol w:w="142"/>
        <w:gridCol w:w="567"/>
        <w:gridCol w:w="4396"/>
      </w:tblGrid>
      <w:tr>
        <w:trPr>
          <w:trHeight w:val="680"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cs="Calibri" w:cstheme="minorHAnsi"/>
                <w:b/>
                <w:color w:val="D60093"/>
                <w:sz w:val="36"/>
                <w:szCs w:val="36"/>
              </w:rPr>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r>
              <w:rPr>
                <w:rFonts w:cs="Calibri" w:cstheme="minorHAnsi"/>
                <w:b/>
                <w:color w:val="D60093"/>
                <w:sz w:val="36"/>
                <w:szCs w:val="36"/>
              </w:rPr>
            </w:r>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sz w:val="24"/>
                <w:szCs w:val="24"/>
              </w:rPr>
            </w:pPr>
            <w:r>
              <w:rPr>
                <w:rFonts w:cs="Calibri" w:cstheme="minorHAnsi"/>
                <w:b/>
                <w:color w:themeColor="text1" w:themeTint="bf" w:val="404040"/>
                <w:sz w:val="24"/>
                <w:szCs w:val="24"/>
              </w:rPr>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5"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cs="Calibri" w:cstheme="minorHAnsi"/>
                <w:b/>
                <w:color w:val="D60093"/>
                <w:sz w:val="36"/>
                <w:szCs w:val="36"/>
              </w:rPr>
            </w:pPr>
            <w:sdt>
              <w:sdtPr>
                <w:dropDownList>
                  <w:listItem w:displayText="2" w:value="2"/>
                  <w:listItem w:displayText="3" w:value="3"/>
                  <w:listItem w:displayText="4" w:value="4"/>
                  <w:listItem w:displayText="5" w:value="5"/>
                </w:dropDownList>
              </w:sdtPr>
              <w:sdtContent>
                <w:r>
                  <w:rPr/>
                </w:r>
                <w:r>
                  <w:rPr/>
                  <w:t>3</w:t>
                </w:r>
              </w:sdtContent>
            </w:sdt>
          </w:p>
        </w:tc>
        <w:tc>
          <w:tcPr>
            <w:tcW w:w="6806" w:type="dxa"/>
            <w:gridSpan w:val="5"/>
            <w:tcBorders>
              <w:top w:val="nil"/>
              <w:start w:val="nil"/>
              <w:bottom w:val="nil"/>
              <w:end w:val="nil"/>
            </w:tcBorders>
            <w:vAlign w:val="bottom"/>
          </w:tcPr>
          <w:p>
            <w:pPr>
              <w:pStyle w:val="Normal"/>
              <w:widowControl/>
              <w:suppressAutoHyphens w:val="true"/>
              <w:spacing w:lineRule="auto" w:line="240" w:before="0" w:after="0"/>
              <w:jc w:val="start"/>
              <w:rPr>
                <w:rFonts w:cs="Calibri" w:cstheme="minorHAnsi"/>
                <w:b/>
                <w:color w:themeColor="text1" w:themeTint="bf" w:val="404040"/>
              </w:rPr>
            </w:pPr>
            <w:sdt>
              <w:sdtPr>
                <w:alias w:val="Intitulé de l'activité"/>
                <w:tag w:val="Intitulé de l'activité"/>
                <w:id w:val="-860819542"/>
                <w:placeholder>
                  <w:docPart w:val="14046861018B4809A6241D4E948106D1"/>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Préparer le déploiement d'une application sécurisée (Docker CI/CD, Vercel/Neon, monitoring opérationnel)</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Containerisation Docker multi-stage et pipeline CI/CD GitHub Actions</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conçu et mis en place la chaîne de build et d'intégration continue : Dockerfile multi-stage optimisé pour la production, docker-compose.yml avec profils dev/prod, et pipeline GitHub Actions automatisé. Dockerfile multi-stage : étape builder (oven/bun:1, apt install openssl, bun install, prisma generate, next build --mode standalone) ; étape runner (oven/bun:1 slim, copie uniquement .next/, node_modules/, public/, prisma/). OpenSSL installé aux deux stages (binaires natifs Prisma). Taille image production ≈ 80% plus petite que l'image builder. docker-compose.yml avec profils Docker Compose : profil dev (service app-dev, volume mount du code source, WATCHPACK_POLLING=true pour hot reload dans Docker, chargement .env) ; profil prod (service app, image pré-buildée, sans volume). Un seul fichier gère deux modes. Pipeline GitHub Actions (.github/workflows/ci.yml) : déclenchement push main + Pull Request, oven-sh/setup-bun@v1, étapes bun install --frozen-lockfile, bunx prisma generate, bun run lint, bun run test, bun run build. Détection automatique des régressions avant merge. Résolution des incompatibilités (PR #118) : binaires natifs Prisma incompatibles avec certaines versions de Bun, paramétrage binaryTargets dans schema.prisma, pin des versions dans bun.lock pour reproductibilité. Extrait — Dockerfile multi-stage (simplifié)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r>
                <w:r>
                  <w:rPr>
                    <w:rFonts w:eastAsia="Calibri" w:cs=""/>
                    <w:kern w:val="0"/>
                    <w:sz w:val="22"/>
                    <w:szCs w:val="22"/>
                    <w:lang w:val="fr-FR" w:eastAsia="en-US" w:bidi="ar-SA"/>
                  </w:rPr>
                  <w:t>Docker (multi-stage build) — séparation build/runtime, image production allégée Docker Compose (profils) — orchestration locale dev/prod, variables d'env, volumes GitHub Actions — oven-sh/setup-bun@v1, pipeline lint/test/build Bun 1.x — bun install --frozen-lockfile, bun run test (Jest) ESLint — analyse statique TypeScript Jest + --experimental-vm-modules — tests compatibles ES modules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r>
                <w:r>
                  <w:rPr>
                    <w:rFonts w:eastAsia="Calibri" w:cs=""/>
                    <w:kern w:val="0"/>
                    <w:sz w:val="22"/>
                    <w:szCs w:val="22"/>
                    <w:lang w:val="fr-FR" w:eastAsia="en-US" w:bidi="ar-SA"/>
                  </w:rPr>
                  <w:t>Travail collaboratif pour la stabilisation. La PR #118 représente le point de convergence après plusieurs semaines d'itérations pour résoudre les incompatibilités Bun/Prisma. J'ai rédigé la configuration finale et documenté les procédures.</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Infrastructure &amp; CI/CD</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r>
                <w:r>
                  <w:rPr>
                    <w:rFonts w:eastAsia="Calibri" w:cs=""/>
                    <w:kern w:val="0"/>
                    <w:sz w:val="22"/>
                    <w:szCs w:val="22"/>
                    <w:lang w:val="fr-FR" w:eastAsia="en-US" w:bidi="ar-SA"/>
                  </w:rPr>
                  <w:t>Multi-stage : optimisation de l'image production L'image builder &gt; 2 Go (devDependencies, TypeScript, ESLint, Prisma CLI, Jest). L'image runner ne contient que les artifacts compilés, dépendances de production et binaires Prisma. Cette séparation réduit la taille de 80%, accélère les déploiements et réduit la surface d'attaque (pas d'outils de build exposés en production). La commande CMD au démarrage (prisma migrate deploy &amp;&amp; bun run start) garantit que les migrations sont appliquées avant le démarrage — sans étape manuelle lors des déploiements. Sûre pour les migrations additives, mais nécessite une procédure spéciale pour les migrations destructives. Valeur concrète du pipeline CI Le pipeline a détecté des régressions réelles avant merge : erreur de lint (variable non utilisée), test cassé après un refactoring du schéma Prisma, erreur de build liée à un import circulaire. Ces détections automatiques ont évité que des bugs n'atteignent la production.</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r>
                <w:r>
                  <w:rPr>
                    <w:rFonts w:eastAsia="Calibri" w:cs=""/>
                    <w:kern w:val="0"/>
                    <w:sz w:val="22"/>
                    <w:szCs w:val="22"/>
                    <w:lang w:val="fr-FR" w:eastAsia="en-US" w:bidi="ar-SA"/>
                  </w:rPr>
                  <w:t>Déploiement en production sur Vercel avec PostgreSQL Neon et migrations Prisma</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configuré et documenté le déploiement en production sur Vercel, avec PostgreSQL Neon comme base de données cloud, Upstash Redis pour le temps réel, et Cloudinary pour les médias. Configuration Vercel : liaison au dépôt GitHub, paramétrage framework Next.js, déploiements automatiques sur push main et Preview sur les branches de feature. Injection des secrets (12 variables) : DATABASE_URL (URL poolée Neon/pgbouncer), DIRECT_URL (connexion directe pour migrations), JWT_SECRET, OAUTH_TOKEN_ENCRYPTION_KEY, UPSTASH_REDIS_REST_URL, UPSTASH_REDIS_REST_TOKEN, CLOUDINARY_CLOUD_NAME/API_KEY/API_SECRET, NEXT_PUBLIC_GIPHY_API_KEY, CLIENT_ID/CLIENT_SECRET/REDIRECT_URL. Documentation dans .env.exemple (sans valeurs). Configuration Prisma pour Neon : deux URLs dans datasource db — url (poolée pgbouncer, pour les requêtes applicatives) et directUrl (connexion directe, pour prisma migrate deploy). Distinction requise car pgbouncer est incompatible avec les migrations multi-étapes de Prisma. Procédure de migration : prisma migrate deploy (idempotent, applique migrations en attente). Procédure documentée pour migrations destructives : backup, déploiement progressif, rollback plan. Checklist post-déploiement : page d'accueil + connexion, création de post, messagerie temps réel, cookies HTTP-only dans DevTools, redirections middleware, SSL. Procédure de rollback : vercel rollback pour retour instantané à un déploiement précédent. Distinction rollback application (Vercel, instantané) vs rollback BDD (manuel, migrations Prisma ne sont pas réversibles automatiquement). Extrait — configuration Prisma pour Neon (datasource db)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r>
                <w:r>
                  <w:rPr>
                    <w:rFonts w:eastAsia="Calibri" w:cs=""/>
                    <w:kern w:val="0"/>
                    <w:sz w:val="22"/>
                    <w:szCs w:val="22"/>
                    <w:lang w:val="fr-FR" w:eastAsia="en-US" w:bidi="ar-SA"/>
                  </w:rPr>
                  <w:t>Vercel — plateforme Next.js, secrets chiffrés, Preview/Production PostgreSQL Neon — serverless, pgbouncer, branches de base de données Prisma Migrate — migrate deploy (production), migrate dev (développement) Upstash Redis — API REST, dashboard monitoring Cloudinary — CDN médias, transformations à la volée Vercel CLI — vercel rollback</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Configuration collective : Prisma/Neon par moi, OAuth Google et Cloudinary par d'autres membres. Coordination stricte sur les secrets : revue systématique des PR, vérification .gitignore, aucune valeur sensible committée.</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Mise en production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Configuration Neon + Prisma : pourquoi deux URLs Neon est une base de données PostgreSQL serverless avec pgbouncer (pooleur de connexions) pour la scalabilité. Prisma utilise par défaut des connexions persistantes incompatibles avec le serverless. La DATABASE_URL poolée résout ce problème pour les requêtes applicatives. Mais pgbouncer est incompatible avec prisma migrate deploy (qui utilise des transactions multi-étapes). D'où la nécessité d'une DIRECT_URL séparée pour les migrations uniquement. Cette configuration est la référence officielle de Prisma pour les déploiements sur Neon. Sécurité des secrets en production Bonnes pratiques appliquées : (1) aucun secret dans le dépôt Git ; (2) variables Vercel chiffrées au repos ; (3) .env.exemple avec placeholders pour documenter les variables requises ; (4) rotation des secrets possible sans re-déploiement. Conformes aux recommandations du OWASP Secrets Management Cheat Sheet.</w:t>
                </w:r>
              </w:sdtContent>
            </w:sdt>
          </w:p>
        </w:tc>
      </w:tr>
      <w:tr>
        <w:trPr>
          <w:trHeight w:val="365" w:hRule="atLeast"/>
        </w:trPr>
        <w:tc>
          <w:tcPr>
            <w:tcW w:w="2976"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6"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r>
                <w:r>
                  <w:rPr>
                    <w:rFonts w:eastAsia="Calibri" w:cs=""/>
                    <w:kern w:val="0"/>
                    <w:sz w:val="22"/>
                    <w:szCs w:val="22"/>
                    <w:lang w:val="fr-FR" w:eastAsia="en-US" w:bidi="ar-SA"/>
                  </w:rPr>
                  <w:t>Monitoring, observabilité et documentation opérationnelle du déploiement</w:t>
                </w:r>
              </w:sdtContent>
            </w:sdt>
          </w:p>
        </w:tc>
      </w:tr>
      <w:tr>
        <w:trPr>
          <w:trHeight w:val="365" w:hRule="atLeast"/>
        </w:trPr>
        <w:tc>
          <w:tcPr>
            <w:tcW w:w="2976"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6"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r>
                <w:r>
                  <w:rPr>
                    <w:rFonts w:eastAsia="Calibri" w:cs=""/>
                    <w:kern w:val="0"/>
                    <w:sz w:val="22"/>
                    <w:szCs w:val="22"/>
                    <w:lang w:val="fr-FR" w:eastAsia="en-US" w:bidi="ar-SA"/>
                  </w:rPr>
                  <w:t>J'ai défini et documenté la stratégie d'observabilité et les procédures opérationnelles du projet : monitoring des erreurs, surveillance des performances, procédures de rollback, checklist de déploiement, et rédaction de l'intégralité du dossier de certification. Stratégie de monitoring documentée dans 05-deploiement/README.md : logs applicatifs structurés (console structurée côté serveur capturée par Vercel Logs), Vercel Analytics pour les Core Web Vitals (LCP, FID, CLS, TTFB), alertes automatiques sur les échecs de build/déploiement via notifications Vercel + GitHub Actions. Checklist de déploiement : liste vérifiable couvrant les étapes pré-déploiement (backup si migration destructive, vérification CI verte), les étapes de déploiement (push main, monitoring du build Vercel, vérification migration Prisma), et les contrôles post-déploiement (7 points de validation fonctionnelle). Procédures de rollback documentées : vercel rollback (instantané, application uniquement), procédure de restauration de base de données (backup préalable requis car les migrations Prisma ne se rollbackent pas automatiquement), critères de déclenchement du rollback. Documentation des axes d'amélioration : Sentry pour le monitoring d'erreurs avec stack traces (non installé, documenté comme priorité), tests end-to-end Playwright (manquants, documentés), branches de base de données Neon pour isoler les tests. Rédaction de l'intégralité du dossier de certification (commits 537b482 à 0e4066d) : 7 sections (contexte projet, gestion de projet, conception, développement, déploiement, bilan, annexes), diagrammes UML, mapping des 11 compétences RNCP, preuves GitHub vérifiables. Ce dossier est une contribution personnelle à 100%.</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r>
                <w:r>
                  <w:rPr>
                    <w:rFonts w:eastAsia="Calibri" w:cs=""/>
                    <w:kern w:val="0"/>
                    <w:sz w:val="22"/>
                    <w:szCs w:val="22"/>
                    <w:lang w:val="fr-FR" w:eastAsia="en-US" w:bidi="ar-SA"/>
                  </w:rPr>
                  <w:t>Vercel Analytics — Core Web Vitals, LCP, FID, CLS Vercel Logs — fonctions serverless, alertes de déploiement GitHub Actions notifications — alertes email sur pipelines échoués Vercel CLI — vercel rollback, vercel env pull Markdown + Mermaid — documentation technique du dossier de certification</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r>
                <w:r>
                  <w:rPr>
                    <w:rFonts w:eastAsia="Calibri" w:cs=""/>
                    <w:kern w:val="0"/>
                    <w:sz w:val="22"/>
                    <w:szCs w:val="22"/>
                    <w:lang w:val="fr-FR" w:eastAsia="en-US" w:bidi="ar-SA"/>
                  </w:rPr>
                  <w:t>Documentation et monitoring rédigés en autonomie. Le dossier de certification est une contribution personnelle à 100% : structure, rédaction, diagrammes UML, mapping des compétences RNCP, preuves GitHub. Commits 537b482 à 0e4066d entre avril et mai 2026.</w:t>
                </w:r>
              </w:sdtContent>
            </w:sdt>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7"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5"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7"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5"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4"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r>
                <w:r>
                  <w:rPr>
                    <w:rFonts w:eastAsia="Calibri" w:cs=""/>
                    <w:kern w:val="0"/>
                    <w:sz w:val="22"/>
                    <w:szCs w:val="22"/>
                    <w:lang w:val="fr-FR" w:eastAsia="en-US" w:bidi="ar-SA"/>
                  </w:rPr>
                  <w:t>Projet Social Network — Monitoring &amp; Documentation opérationnelle</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5"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9"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1-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26/05/2025</w:t>
                </w:r>
              </w:sdtContent>
            </w:sdt>
          </w:p>
        </w:tc>
        <w:tc>
          <w:tcPr>
            <w:tcW w:w="567"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6"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18/09/2025</w:t>
                </w:r>
              </w:sdtContent>
            </w:sdt>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r>
                <w:r>
                  <w:rPr>
                    <w:rFonts w:eastAsia="Calibri" w:cs=""/>
                    <w:kern w:val="0"/>
                    <w:sz w:val="22"/>
                    <w:szCs w:val="22"/>
                    <w:lang w:val="fr-FR" w:eastAsia="en-US" w:bidi="ar-SA"/>
                  </w:rPr>
                  <w:t>Documentation opérationnelle : valeur pour l'équipe Un déploiement réussi ne se limite pas à mettre du code en production. La documentation opérationnelle — procédures de déploiement, checklist, rollback, gestion des secrets — permet à n'importe quel membre de l'équipe d'intervenir en production sans risque d'oublier une étape critique. La checklist de déploiement suit le principe des listes de contrôle utilisées dans l'aviation et la médecine : éliminer les erreurs humaines par omission. Documentation honnête des lacunes Documenter les manques est aussi important que documenter les réussites. J'ai identifié trois axes d'amélioration prioritaires : Sentry (les erreurs de production ne sont actuellement visibles que dans les logs Vercel sans contexte de stack trace), tests end-to-end (seuls des tests unitaires sont en place), et branches Neon pour isoler les tests d'intégration. Cette approche démontre une compréhension mature du cycle de vie d'un produit en production et une capacité à anticiper les prochaines étapes d'amélioration.</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815783948"/>
                <w:placeholder>
                  <w:docPart w:val="10928C2C40A041498AA8ECAF6290BDCD"/>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Concepteur Développeur d'Applications (RNCP 37873) — en cours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805660918"/>
                <w:placeholder>
                  <w:docPart w:val="82AA1F2D0AB2438D8F92355CB802BD47"/>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t>2023-</w:t>
            </w:r>
            <w:sdt>
              <w:sdtPr>
                <w:alias w:val="date"/>
                <w:tag w:val="date"/>
                <w:id w:val="-731318474"/>
                <w:placeholder>
                  <w:docPart w:val="B86463D8C1EC48B9B1941578679214F9"/>
                </w:placeholder>
                <w:date>
                  <w:dateFormat w:val="dd/MM/yyyy"/>
                  <w:lid w:val="fr-FR"/>
                </w:date>
              </w:sdtPr>
              <w:sdtContent>
                <w:r>
                  <w:rPr>
                    <w:rFonts w:eastAsia="Calibri" w:cs="Calibri" w:cstheme="minorHAnsi"/>
                    <w:b/>
                    <w:color w:themeColor="text1" w:themeTint="bf" w:val="404040"/>
                    <w:kern w:val="0"/>
                    <w:sz w:val="20"/>
                    <w:szCs w:val="20"/>
                    <w:lang w:val="fr-FR" w:eastAsia="en-US" w:bidi="ar-SA"/>
                  </w:rPr>
                </w:r>
                <w:r>
                  <w:rPr>
                    <w:rFonts w:eastAsia="Calibri" w:cs="Calibri" w:cstheme="minorHAnsi"/>
                    <w:b/>
                    <w:color w:themeColor="text1" w:themeTint="bf" w:val="404040"/>
                    <w:kern w:val="0"/>
                    <w:sz w:val="20"/>
                    <w:szCs w:val="20"/>
                    <w:lang w:val="fr-FR" w:eastAsia="en-US" w:bidi="ar-SA"/>
                  </w:rPr>
                  <w:t>2025</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892916534"/>
                <w:placeholder>
                  <w:docPart w:val="C2D1BD9467234066AFFB39BBC18D3357"/>
                </w:placeholder>
                <w:text/>
              </w:sdtPr>
              <w:sdtContent>
                <w:r>
                  <w:rPr>
                    <w:rFonts w:eastAsia="Calibri" w:cs=""/>
                    <w:kern w:val="0"/>
                    <w:sz w:val="22"/>
                    <w:szCs w:val="22"/>
                    <w:lang w:val="fr-FR" w:eastAsia="en-US" w:bidi="ar-SA"/>
                  </w:rPr>
                </w:r>
                <w:r>
                  <w:rPr>
                    <w:rFonts w:eastAsia="Calibri" w:cs=""/>
                    <w:kern w:val="0"/>
                    <w:sz w:val="22"/>
                    <w:szCs w:val="22"/>
                    <w:lang w:val="fr-FR" w:eastAsia="en-US" w:bidi="ar-SA"/>
                  </w:rPr>
                  <w:t>BTS Maintenance des Automatismes Industriels (MAI)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2057810273"/>
                <w:placeholder>
                  <w:docPart w:val="B59CF0344AD343AA9243453A9657E49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494297515"/>
                <w:placeholder>
                  <w:docPart w:val="F0095E2B221F4BF687B596967FAA2731"/>
                </w:placeholder>
                <w:date w:fullDate="1905-06-25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2003</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678578469"/>
                <w:placeholder>
                  <w:docPart w:val="30D259F627CA450281987394C08996E5"/>
                </w:placeholder>
                <w:text/>
              </w:sdtPr>
              <w:sdtContent>
                <w:r>
                  <w:rPr>
                    <w:rFonts w:eastAsia="Calibri" w:cs=""/>
                    <w:kern w:val="0"/>
                    <w:sz w:val="22"/>
                    <w:szCs w:val="22"/>
                    <w:lang w:val="fr-FR" w:eastAsia="en-US" w:bidi="ar-SA"/>
                  </w:rPr>
                </w:r>
                <w:r>
                  <w:rPr>
                    <w:rFonts w:eastAsia="Calibri" w:cs=""/>
                    <w:kern w:val="0"/>
                    <w:sz w:val="22"/>
                    <w:szCs w:val="22"/>
                    <w:lang w:val="fr-FR" w:eastAsia="en-US" w:bidi="ar-SA"/>
                  </w:rPr>
                  <w:t>BAC PRO MSMA (Maintenance des Systèmes Mécaniques Automatisés)</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374578029"/>
                <w:placeholder>
                  <w:docPart w:val="C0D9DACF8C4544B692202DDE628295F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292522842"/>
                <w:placeholder>
                  <w:docPart w:val="EFC2186B720C46389A291839FDB36856"/>
                </w:placeholder>
                <w:date w:fullDate="1905-06-23T00:00:00Z">
                  <w:dateFormat w:val="dd/MM/yyyy"/>
                  <w:lid w:val="fr-FR"/>
                </w:date>
              </w:sdtPr>
              <w:sdtContent>
                <w:r>
                  <w:rPr>
                    <w:rFonts w:eastAsia="Calibri" w:cs=""/>
                    <w:kern w:val="0"/>
                    <w:sz w:val="22"/>
                    <w:szCs w:val="22"/>
                    <w:lang w:val="fr-FR" w:eastAsia="en-US" w:bidi="ar-SA"/>
                  </w:rPr>
                </w:r>
                <w:r>
                  <w:rPr>
                    <w:rFonts w:eastAsia="Calibri" w:cs=""/>
                    <w:kern w:val="0"/>
                    <w:sz w:val="22"/>
                    <w:szCs w:val="22"/>
                    <w:lang w:val="fr-FR" w:eastAsia="en-US" w:bidi="ar-SA"/>
                  </w:rPr>
                  <w:t>2001</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451628179"/>
                <w:placeholder>
                  <w:docPart w:val="3EAD1A09E5464942BFC61C88898D2B67"/>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800489748"/>
                <w:placeholder>
                  <w:docPart w:val="F5985C60163B47329D2D6CA5F29D6F1B"/>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534421718"/>
                <w:placeholder>
                  <w:docPart w:val="06F6F86613A845FBBEA73E29978025BE"/>
                </w:placeholder>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665603386"/>
                <w:placeholder>
                  <w:docPart w:val="38B593253BF24E51811320228A75F364"/>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74456826"/>
                <w:placeholder>
                  <w:docPart w:val="B8DA26A2CE584A8C96F7872FA31F29A0"/>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698437198"/>
                <w:placeholder>
                  <w:docPart w:val="4CAD6CF92BE14E55A4D426EC7BB5BF4E"/>
                </w:placeholder>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780377363"/>
                <w:placeholder>
                  <w:docPart w:val="460BDC17DDAA4DCCA87ABA910323E93E"/>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551752405"/>
                <w:placeholder>
                  <w:docPart w:val="3D9E34C9EFD2482FBEE6CEB78AD279A3"/>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2140027505"/>
                <w:placeholder>
                  <w:docPart w:val="E35425E0C6004D2E9D2836E67FD4D62F"/>
                </w:placeholder>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645741622"/>
                <w:placeholder>
                  <w:docPart w:val="8552024EBFC34D68820B56B035D073D9"/>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667283844"/>
                <w:placeholder>
                  <w:docPart w:val="FF5EBAB5B09D4434BD221F82D867A13C"/>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2066251698"/>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34189796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2907731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319159702"/>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872804284"/>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28018676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624118815"/>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r>
        <w:trPr>
          <w:trHeight w:val="510" w:hRule="atLeast"/>
        </w:trPr>
        <w:tc>
          <w:tcPr>
            <w:tcW w:w="2692" w:type="dxa"/>
            <w:tcBorders>
              <w:top w:val="single" w:sz="4" w:space="0" w:color="D9D9D9"/>
              <w:start w:val="single" w:sz="4" w:space="0" w:color="BFBFBF"/>
              <w:bottom w:val="single" w:sz="4" w:space="0" w:color="BFBFBF"/>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iplome"/>
                <w:tag w:val="diplome"/>
                <w:id w:val="116991077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7" w:type="dxa"/>
            <w:tcBorders>
              <w:top w:val="single" w:sz="4" w:space="0" w:color="D9D9D9"/>
              <w:start w:val="single" w:sz="4" w:space="0" w:color="D9D9D9"/>
              <w:bottom w:val="single" w:sz="4" w:space="0" w:color="BFBFBF"/>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Organisme"/>
                <w:tag w:val="Organisme"/>
                <w:id w:val="-153172023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BFBFBF"/>
              <w:end w:val="single" w:sz="4" w:space="0" w:color="BFBFBF"/>
            </w:tcBorders>
            <w:vAlign w:val="center"/>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sdt>
              <w:sdtPr>
                <w:alias w:val="date"/>
                <w:tag w:val="date"/>
                <w:id w:val="-1114897667"/>
                <w:showingPlcHdr/>
                <w:date>
                  <w:dateFormat w:val="dd/MM/yyyy"/>
                  <w:lid w:val="fr-FR"/>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sdtContent>
            </w:sdt>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9"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5"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5"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6"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user"/>
                              <w:spacing w:before="0" w:after="200"/>
                              <w:rPr>
                                <w:color w:themeColor="text1" w:themeTint="bf" w:val="404040"/>
                                <w:sz w:val="24"/>
                                <w:szCs w:val="24"/>
                              </w:rPr>
                            </w:pPr>
                            <w:sdt>
                              <w:sdtPr>
                                <w:alias w:val="Déclaration_Le :"/>
                                <w:tag w:val="Déclaration_Le :"/>
                                <w:id w:val="-1372685351"/>
                                <w:date w:fullDate="2026-05-22T00:00:00Z">
                                  <w:dateFormat w:val="YYYY-MM-DD"/>
                                  <w:lid w:val="fr-FR"/>
                                </w:date>
                              </w:sdtPr>
                              <w:sdtContent>
                                <w:r>
                                  <w:rPr>
                                    <w:rStyle w:val="PlaceholderText"/>
                                    <w:i/>
                                    <w:color w:themeColor="text1" w:themeTint="bf" w:val="404040"/>
                                    <w:sz w:val="24"/>
                                    <w:szCs w:val="24"/>
                                  </w:rPr>
                                </w:r>
                                <w:r>
                                  <w:rPr>
                                    <w:rStyle w:val="PlaceholderText"/>
                                    <w:i/>
                                    <w:color w:themeColor="text1" w:themeTint="bf" w:val="404040"/>
                                    <w:sz w:val="24"/>
                                    <w:szCs w:val="24"/>
                                  </w:rPr>
                                  <w:t>22/05/2026</w:t>
                                </w:r>
                                <w:r>
                                  <w:rPr>
                                    <w:rStyle w:val="PlaceholderText"/>
                                    <w:i/>
                                    <w:color w:themeColor="text1" w:themeTint="bf" w:val="404040"/>
                                    <w:sz w:val="24"/>
                                    <w:szCs w:val="24"/>
                                  </w:rPr>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user"/>
                        <w:spacing w:before="0" w:after="200"/>
                        <w:rPr>
                          <w:color w:themeColor="text1" w:themeTint="bf" w:val="404040"/>
                          <w:sz w:val="24"/>
                          <w:szCs w:val="24"/>
                        </w:rPr>
                      </w:pPr>
                      <w:sdt>
                        <w:sdtPr>
                          <w:alias w:val="Déclaration_Le :"/>
                          <w:tag w:val="Déclaration_Le :"/>
                          <w:id w:val="-1372685351"/>
                          <w:date w:fullDate="2026-05-22T00:00:00Z">
                            <w:dateFormat w:val="YYYY-MM-DD"/>
                            <w:lid w:val="fr-FR"/>
                          </w:date>
                        </w:sdtPr>
                        <w:sdtContent>
                          <w:r>
                            <w:rPr>
                              <w:rStyle w:val="PlaceholderText"/>
                              <w:i/>
                              <w:color w:themeColor="text1" w:themeTint="bf" w:val="404040"/>
                              <w:sz w:val="24"/>
                              <w:szCs w:val="24"/>
                            </w:rPr>
                          </w:r>
                          <w:r>
                            <w:rPr>
                              <w:rStyle w:val="PlaceholderText"/>
                              <w:i/>
                              <w:color w:themeColor="text1" w:themeTint="bf" w:val="404040"/>
                              <w:sz w:val="24"/>
                              <w:szCs w:val="24"/>
                            </w:rPr>
                            <w:t>22/05/2026</w:t>
                          </w:r>
                          <w:r>
                            <w:rPr>
                              <w:rStyle w:val="PlaceholderText"/>
                              <w:i/>
                              <w:color w:themeColor="text1" w:themeTint="bf" w:val="404040"/>
                              <w:sz w:val="24"/>
                              <w:szCs w:val="24"/>
                            </w:rPr>
                          </w:r>
                        </w:sdtContent>
                      </w:sdt>
                    </w:p>
                  </w:txbxContent>
                </v:textbox>
                <w10:wrap type="none"/>
              </v:rect>
            </w:pict>
          </mc:Fallback>
        </mc:AlternateContent>
        <mc:AlternateContent>
          <mc:Choice Requires="wps">
            <w:drawing>
              <wp:anchor distT="0" distB="0" distL="0" distR="0" simplePos="0" relativeHeight="117"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7"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r>
        <w:drawing>
          <wp:anchor distT="0" distB="0" distL="0" distR="0" simplePos="0" relativeHeight="121" behindDoc="0" locked="0" layoutInCell="0" allowOverlap="1">
            <wp:simplePos x="0" y="0"/>
            <wp:positionH relativeFrom="column">
              <wp:posOffset>8890</wp:posOffset>
            </wp:positionH>
            <wp:positionV relativeFrom="paragraph">
              <wp:posOffset>273050</wp:posOffset>
            </wp:positionV>
            <wp:extent cx="1611630" cy="789305"/>
            <wp:effectExtent l="0" t="0" r="0" b="0"/>
            <wp:wrapSquare wrapText="largest"/>
            <wp:docPr id="1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pic:cNvPicPr>
                      <a:picLocks noChangeAspect="1" noChangeArrowheads="1"/>
                    </pic:cNvPicPr>
                  </pic:nvPicPr>
                  <pic:blipFill>
                    <a:blip r:embed="rId21"/>
                    <a:stretch>
                      <a:fillRect/>
                    </a:stretch>
                  </pic:blipFill>
                  <pic:spPr bwMode="auto">
                    <a:xfrm>
                      <a:off x="0" y="0"/>
                      <a:ext cx="1611630" cy="789305"/>
                    </a:xfrm>
                    <a:prstGeom prst="rect">
                      <a:avLst/>
                    </a:prstGeom>
                    <a:noFill/>
                  </pic:spPr>
                </pic:pic>
              </a:graphicData>
            </a:graphic>
          </wp:anchor>
        </w:drawing>
      </w:r>
      <w:r>
        <w:rPr>
          <w:rFonts w:cs="Calibri" w:cstheme="minorHAnsi"/>
          <w:color w:themeColor="text1" w:themeTint="bf" w:val="404040"/>
          <w:sz w:val="24"/>
          <w:szCs w:val="24"/>
        </w:rPr>
        <w:br/>
        <w:b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c>
          <w:tcPr>
            <w:tcW w:w="9782"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sdt>
              <w:sdtPr>
                <w:alias w:val="Doc illustrant la pratique"/>
                <w:tag w:val="Doc illustrant la pratique"/>
                <w:id w:val="-73123424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start"/>
              <w:rPr>
                <w:rFonts w:cs="Calibri" w:cstheme="minorHAnsi"/>
                <w:b/>
                <w:color w:themeColor="text1" w:themeTint="bf" w:val="404040"/>
                <w:sz w:val="20"/>
                <w:szCs w:val="20"/>
              </w:rPr>
            </w:pPr>
            <w:r>
              <w:rPr>
                <w:rFonts w:cs="Calibri" w:cstheme="minorHAnsi"/>
                <w:b/>
                <w:color w:themeColor="text1" w:themeTint="bf" w:val="404040"/>
                <w:sz w:val="20"/>
                <w:szCs w:val="20"/>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13" behindDoc="0" locked="0" layoutInCell="0" allowOverlap="1" wp14:anchorId="7C090976">
                <wp:simplePos x="0" y="0"/>
                <wp:positionH relativeFrom="margin">
                  <wp:posOffset>5349240</wp:posOffset>
                </wp:positionH>
                <wp:positionV relativeFrom="page">
                  <wp:posOffset>9924415</wp:posOffset>
                </wp:positionV>
                <wp:extent cx="473710" cy="376555"/>
                <wp:effectExtent l="0" t="0" r="0" b="0"/>
                <wp:wrapNone/>
                <wp:docPr id="23"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anchor="ctr" vert="vert" upright="1">
                        <a:noAutofit/>
                      </wps:bodyPr>
                    </wps:wsp>
                  </a:graphicData>
                </a:graphic>
              </wp:anchor>
            </w:drawing>
          </mc:Choice>
          <mc:Fallback>
            <w:pict>
              <v:shape id="shape_0" stroked="f" o:allowincell="f" style="position:absolute;margin-left:421.2pt;margin-top:781.4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28"/>
      <w:headerReference w:type="default" r:id="rId29"/>
      <w:headerReference w:type="first" r:id="rId30"/>
      <w:footerReference w:type="even" r:id="rId31"/>
      <w:footerReference w:type="default" r:id="rId32"/>
      <w:footerReference w:type="first" r:id="rId33"/>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Wingdings 3">
    <w:charset w:val="01" w:characterSet="utf-8"/>
    <w:family w:val="roman"/>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101"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101"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7"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7"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9"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8"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7"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9"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9"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0"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3"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5"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11125" distR="114300" simplePos="0" relativeHeight="103"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5"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19"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98"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0"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2"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21"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98"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2"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4"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24"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6"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5"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4" behindDoc="1" locked="0" layoutInCell="0" allowOverlap="1" wp14:anchorId="7E31E2B7">
              <wp:simplePos x="0" y="0"/>
              <wp:positionH relativeFrom="margin">
                <wp:posOffset>5244465</wp:posOffset>
              </wp:positionH>
              <wp:positionV relativeFrom="page">
                <wp:posOffset>9814560</wp:posOffset>
              </wp:positionV>
              <wp:extent cx="355600" cy="600075"/>
              <wp:effectExtent l="1270" t="1270" r="1270" b="1270"/>
              <wp:wrapNone/>
              <wp:docPr id="26"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9pt;margin-top:772.8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1125" distR="114300" simplePos="0" relativeHeight="6" behindDoc="1" locked="0" layoutInCell="0" allowOverlap="1" wp14:anchorId="1A5B76DB">
              <wp:simplePos x="0" y="0"/>
              <wp:positionH relativeFrom="margin">
                <wp:posOffset>5334635</wp:posOffset>
              </wp:positionH>
              <wp:positionV relativeFrom="page">
                <wp:posOffset>9912985</wp:posOffset>
              </wp:positionV>
              <wp:extent cx="473710" cy="376555"/>
              <wp:effectExtent l="0" t="0" r="0" b="0"/>
              <wp:wrapSquare wrapText="bothSides"/>
              <wp:docPr id="27"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20.05pt;margin-top:780.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9"/>
      <w:gridCol w:w="2953"/>
      <w:gridCol w:w="2383"/>
      <w:gridCol w:w="2393"/>
    </w:tblGrid>
    <w:tr>
      <w:trPr>
        <w:trHeight w:val="283" w:hRule="atLeast"/>
      </w:trPr>
      <w:tc>
        <w:tcPr>
          <w:tcW w:w="2019"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8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8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3"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9"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8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9"/>
      <w:gridCol w:w="2953"/>
      <w:gridCol w:w="2383"/>
      <w:gridCol w:w="2393"/>
    </w:tblGrid>
    <w:tr>
      <w:trPr>
        <w:trHeight w:val="283" w:hRule="atLeast"/>
      </w:trPr>
      <w:tc>
        <w:tcPr>
          <w:tcW w:w="2019"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8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3"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29"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9"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83"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3"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9"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8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3"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8"/>
      <w:gridCol w:w="4364"/>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8"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4"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header" Target="header10.xml"/><Relationship Id="rId23" Type="http://schemas.openxmlformats.org/officeDocument/2006/relationships/header" Target="header11.xml"/><Relationship Id="rId24" Type="http://schemas.openxmlformats.org/officeDocument/2006/relationships/header" Target="header12.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header" Target="header13.xml"/><Relationship Id="rId29" Type="http://schemas.openxmlformats.org/officeDocument/2006/relationships/header" Target="header14.xml"/><Relationship Id="rId30" Type="http://schemas.openxmlformats.org/officeDocument/2006/relationships/header" Target="header15.xml"/><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glossaryDocument" Target="glossary/document.xml"/><Relationship Id="rId39"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LibreOffice/26.2.3.2$Linux_X86_64 LibreOffice_project/d4d5ed47b6084125f28d269a5650105d54dde034</Application>
  <AppVersion>15.0000</AppVersion>
  <Pages>27</Pages>
  <Words>5222</Words>
  <Characters>32739</Characters>
  <CharactersWithSpaces>37855</CharactersWithSpaces>
  <Paragraphs>361</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2026-05-22T16:22:12Z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