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footer13.xml" ContentType="application/vnd.openxmlformats-officedocument.wordprocessingml.footer+xml"/>
  <Override PartName="/word/footer15.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header15.xml" ContentType="application/vnd.openxmlformats-officedocument.wordprocessingml.header+xml"/>
  <Override PartName="/word/footer7.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1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96" w:type="dxa"/>
        <w:jc w:val="start"/>
        <w:tblInd w:w="1668" w:type="dxa"/>
        <w:tblLayout w:type="fixed"/>
        <w:tblCellMar>
          <w:top w:w="28" w:type="dxa"/>
          <w:start w:w="108" w:type="dxa"/>
          <w:bottom w:w="0" w:type="dxa"/>
          <w:end w:w="108" w:type="dxa"/>
        </w:tblCellMar>
        <w:tblLook w:noHBand="0" w:noVBand="1" w:firstColumn="1" w:lastRow="0" w:lastColumn="0" w:firstRow="1" w:val="04a0"/>
      </w:tblPr>
      <w:tblGrid>
        <w:gridCol w:w="2345"/>
        <w:gridCol w:w="236"/>
        <w:gridCol w:w="5215"/>
      </w:tblGrid>
      <w:tr>
        <w:trPr/>
        <w:tc>
          <w:tcPr>
            <w:tcW w:w="2345" w:type="dxa"/>
            <w:tcBorders>
              <w:top w:val="nil"/>
              <w:start w:val="nil"/>
              <w:bottom w:val="nil"/>
              <w:end w:val="nil"/>
            </w:tcBorders>
          </w:tcPr>
          <w:p>
            <w:pPr>
              <w:pStyle w:val="Normal"/>
              <w:widowControl/>
              <w:suppressAutoHyphens w:val="true"/>
              <w:spacing w:lineRule="auto" w:line="240" w:before="0" w:after="0"/>
              <w:jc w:val="start"/>
              <w:rPr>
                <w:rFonts w:cs="Calibri" w:cstheme="minorHAnsi"/>
                <w:i/>
                <w:color w:val="D60093"/>
                <w:sz w:val="24"/>
                <w:szCs w:val="24"/>
              </w:rPr>
            </w:pPr>
            <w:r>
              <w:rPr>
                <w:rFonts w:cs="Calibri" w:cstheme="minorHAnsi"/>
                <w:i/>
                <w:color w:val="D60093"/>
                <w:sz w:val="24"/>
                <w:szCs w:val="24"/>
              </w:rPr>
            </w:r>
          </w:p>
        </w:tc>
        <w:tc>
          <w:tcPr>
            <w:tcW w:w="236"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5215"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c>
          <w:tcPr>
            <w:tcW w:w="2345"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236" w:type="dxa"/>
            <w:tcBorders>
              <w:top w:val="nil"/>
              <w:start w:val="nil"/>
              <w:bottom w:val="nil"/>
              <w:end w:val="nil"/>
            </w:tcBorders>
            <w:vAlign w:val="center"/>
          </w:tcPr>
          <w:p>
            <w:pPr>
              <w:pStyle w:val="Normal"/>
              <w:widowControl/>
              <w:suppressAutoHyphens w:val="true"/>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sdt>
              <w:sdtPr>
                <w:alias w:val="Nom naissance"/>
                <w:tag w:val="Nom naissance"/>
                <w:id w:val="423775582"/>
                <w:placeholder>
                  <w:docPart w:val="D552A71AF2B2467AA62E2628BBD935C4"/>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LECART</w:t>
                </w:r>
              </w:sdtContent>
            </w:sdt>
          </w:p>
        </w:tc>
      </w:tr>
      <w:tr>
        <w:trPr/>
        <w:tc>
          <w:tcPr>
            <w:tcW w:w="2345"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d’usage</w:t>
            </w:r>
          </w:p>
        </w:tc>
        <w:tc>
          <w:tcPr>
            <w:tcW w:w="236"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sdt>
              <w:sdtPr>
                <w:alias w:val="Nom d'usage"/>
                <w:tag w:val="Nom d'usage"/>
                <w:id w:val="466088377"/>
                <w:placeholder>
                  <w:docPart w:val="858A3C3711734741B0C36646E3E36B3B"/>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LECART</w:t>
                </w:r>
              </w:sdtContent>
            </w:sdt>
          </w:p>
        </w:tc>
      </w:tr>
      <w:tr>
        <w:trPr/>
        <w:tc>
          <w:tcPr>
            <w:tcW w:w="2345"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236"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sdt>
              <w:sdtPr>
                <w:alias w:val="Prénom"/>
                <w:tag w:val="Prénom"/>
                <w:id w:val="966778718"/>
                <w:placeholder>
                  <w:docPart w:val="E233C1B997304BB98D02CDBB35ACD1FB"/>
                </w:placeholder>
                <w:text/>
              </w:sdtPr>
              <w:sdtContent>
                <w:r>
                  <w:rPr>
                    <w:rFonts w:eastAsia="Calibri" w:cs=""/>
                    <w:kern w:val="0"/>
                    <w:sz w:val="22"/>
                    <w:szCs w:val="22"/>
                    <w:lang w:val="fr-FR" w:eastAsia="en-US" w:bidi="ar-SA"/>
                  </w:rPr>
                </w:r>
                <w:r>
                  <w:rPr>
                    <w:rFonts w:eastAsia="Calibri" w:cs=""/>
                    <w:kern w:val="0"/>
                    <w:sz w:val="22"/>
                    <w:szCs w:val="22"/>
                    <w:lang w:val="fr-FR" w:eastAsia="en-US" w:bidi="ar-SA"/>
                  </w:rPr>
                  <w:t>Christophe</w:t>
                </w:r>
              </w:sdtContent>
            </w:sdt>
          </w:p>
        </w:tc>
      </w:tr>
      <w:tr>
        <w:trPr/>
        <w:tc>
          <w:tcPr>
            <w:tcW w:w="2345"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236"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vMerge w:val="restart"/>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sdt>
              <w:sdtPr>
                <w:alias w:val="Adresse"/>
                <w:tag w:val="Adresse"/>
                <w:id w:val="-1351406819"/>
                <w:placeholder>
                  <w:docPart w:val="7E314413454C4D9885B239A9C6BB8220"/>
                </w:placeholder>
                <w:text/>
              </w:sdtPr>
              <w:sdtContent>
                <w:r>
                  <w:rPr>
                    <w:rFonts w:eastAsia="Calibri" w:cs=""/>
                    <w:kern w:val="0"/>
                    <w:sz w:val="22"/>
                    <w:szCs w:val="22"/>
                    <w:lang w:val="fr-FR" w:eastAsia="en-US" w:bidi="ar-SA"/>
                  </w:rPr>
                </w:r>
                <w:r>
                  <w:rPr>
                    <w:rFonts w:eastAsia="Calibri" w:cs=""/>
                    <w:kern w:val="0"/>
                    <w:sz w:val="22"/>
                    <w:szCs w:val="22"/>
                    <w:lang w:val="fr-FR" w:eastAsia="en-US" w:bidi="ar-SA"/>
                  </w:rPr>
                  <w:t>76510 Notre-Dame d'Aliermont</w:t>
                </w:r>
              </w:sdtContent>
            </w:sdt>
          </w:p>
        </w:tc>
      </w:tr>
      <w:tr>
        <w:trPr/>
        <w:tc>
          <w:tcPr>
            <w:tcW w:w="2345"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sz w:val="24"/>
                <w:szCs w:val="24"/>
              </w:rPr>
            </w:pPr>
            <w:r>
              <w:rPr>
                <w:rFonts w:cs="Calibri" w:cstheme="minorHAnsi"/>
                <w:i/>
                <w:color w:val="D60093"/>
                <w:sz w:val="24"/>
                <w:szCs w:val="24"/>
              </w:rPr>
            </w:r>
          </w:p>
        </w:tc>
        <w:tc>
          <w:tcPr>
            <w:tcW w:w="236" w:type="dxa"/>
            <w:tcBorders>
              <w:top w:val="nil"/>
              <w:start w:val="nil"/>
              <w:bottom w:val="nil"/>
              <w:end w:val="nil"/>
            </w:tcBorders>
            <w:vAlign w:val="center"/>
          </w:tcPr>
          <w:p>
            <w:pPr>
              <w:pStyle w:val="Normal"/>
              <w:widowControl/>
              <w:suppressAutoHyphens w:val="true"/>
              <w:spacing w:lineRule="auto" w:line="240" w:before="0" w:after="0"/>
              <w:ind w:start="-42"/>
              <w:jc w:val="start"/>
              <w:rPr>
                <w:rFonts w:ascii="Wingdings 3" w:hAnsi="Wingdings 3" w:cs="Calibri" w:cstheme="minorHAnsi"/>
                <w:color w:val="D60093"/>
                <w:sz w:val="12"/>
                <w:szCs w:val="12"/>
                <w:lang w:eastAsia="fr-FR"/>
              </w:rPr>
            </w:pPr>
            <w:r>
              <w:rPr>
                <w:rFonts w:cs="Calibri" w:cstheme="minorHAnsi" w:ascii="Wingdings 3" w:hAnsi="Wingdings 3"/>
                <w:color w:val="D60093"/>
                <w:sz w:val="12"/>
                <w:szCs w:val="12"/>
                <w:lang w:eastAsia="fr-FR"/>
              </w:rPr>
            </w:r>
          </w:p>
        </w:tc>
        <w:tc>
          <w:tcPr>
            <w:tcW w:w="5215" w:type="dxa"/>
            <w:vMerge w:val="continue"/>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uppressAutoHyphens w:val="true"/>
              <w:spacing w:lineRule="auto" w:line="240" w:before="0" w:after="0"/>
              <w:jc w:val="center"/>
              <w:rPr>
                <w:rFonts w:cs="Calibri" w:cstheme="minorHAnsi"/>
                <w:b/>
                <w:color w:themeColor="text1" w:themeTint="bf" w:val="404040"/>
                <w:sz w:val="32"/>
                <w:szCs w:val="32"/>
              </w:rPr>
            </w:pPr>
            <w:sdt>
              <w:sdtPr>
                <w:alias w:val="Titre pro"/>
                <w:tag w:val="Titre pro"/>
                <w:id w:val="-837616293"/>
                <w:placeholder>
                  <w:docPart w:val="2535ABE7E1F24C28B2DC27BDE0D19C68"/>
                </w:placeholder>
                <w:text/>
              </w:sdtPr>
              <w:sdtContent>
                <w:r>
                  <w:rPr>
                    <w:rFonts w:eastAsia="Calibri" w:cs="Calibri" w:cstheme="minorHAnsi"/>
                    <w:color w:themeColor="text1" w:themeTint="bf" w:val="404040"/>
                    <w:kern w:val="0"/>
                    <w:sz w:val="32"/>
                    <w:szCs w:val="32"/>
                    <w:lang w:val="fr-FR" w:eastAsia="fr-FR" w:bidi="ar-SA"/>
                  </w:rPr>
                </w:r>
                <w:r>
                  <w:rPr>
                    <w:rFonts w:eastAsia="Calibri" w:cs="Calibri" w:cstheme="minorHAnsi"/>
                    <w:color w:themeColor="text1" w:themeTint="bf" w:val="404040"/>
                    <w:kern w:val="0"/>
                    <w:sz w:val="32"/>
                    <w:szCs w:val="32"/>
                    <w:lang w:val="fr-FR" w:eastAsia="fr-FR" w:bidi="ar-SA"/>
                  </w:rPr>
                  <w:t>Concepteur Développeur d’Applications</w:t>
                </w:r>
              </w:sdtContent>
            </w:sdt>
          </w:p>
        </w:tc>
      </w:tr>
      <w:tr>
        <w:trPr>
          <w:trHeight w:val="1417" w:hRule="atLeast"/>
        </w:trPr>
        <w:tc>
          <w:tcPr>
            <w:tcW w:w="9782" w:type="dxa"/>
            <w:gridSpan w:val="2"/>
            <w:tcBorders>
              <w:top w:val="single" w:sz="12" w:space="0" w:color="D60093"/>
              <w:start w:val="nil"/>
              <w:bottom w:val="single" w:sz="4"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754" w:type="dxa"/>
            <w:tcBorders>
              <w:top w:val="nil"/>
              <w:start w:val="single" w:sz="4" w:space="0" w:color="D9D9D9"/>
              <w:bottom w:val="nil"/>
              <w:end w:val="nil"/>
            </w:tcBorders>
            <w:vAlign w:val="center"/>
          </w:tcPr>
          <w:sdt>
            <w:sdtPr>
              <w:alias w:val="VAE"/>
              <w:tag w:val="VAE"/>
              <w:id w:val="976025978"/>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uppressAutoHyphens w:val="true"/>
              <w:spacing w:lineRule="auto" w:line="240" w:before="0" w:after="0"/>
              <w:jc w:val="start"/>
              <w:rPr>
                <w:rFonts w:cs="Calibri" w:cstheme="minorHAnsi"/>
                <w:color w:themeColor="text1" w:themeTint="bf" w:val="404040"/>
                <w:sz w:val="20"/>
                <w:szCs w:val="20"/>
              </w:rPr>
            </w:pPr>
            <w:r>
              <w:rPr>
                <w:rFonts w:cs="Calibri" w:cstheme="minorHAnsi"/>
                <w:color w:themeColor="text1" w:themeTint="bf" w:val="404040"/>
                <w:sz w:val="20"/>
                <w:szCs w:val="20"/>
              </w:rPr>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spacing w:before="0" w:after="200"/>
        <w:rPr>
          <w:rFonts w:cs="Calibri" w:cstheme="minorHAnsi"/>
          <w:b/>
          <w:color w:themeColor="text1" w:themeTint="bf" w:val="404040"/>
          <w:sz w:val="28"/>
          <w:szCs w:val="28"/>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24"/>
        <w:gridCol w:w="2837"/>
        <w:gridCol w:w="6127"/>
        <w:gridCol w:w="394"/>
      </w:tblGrid>
      <w:tr>
        <w:trPr/>
        <w:tc>
          <w:tcPr>
            <w:tcW w:w="9782" w:type="dxa"/>
            <w:gridSpan w:val="4"/>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424" w:type="dxa"/>
            <w:tcBorders>
              <w:top w:val="nil"/>
              <w:start w:val="single" w:sz="4" w:space="0" w:color="D9D9D9"/>
              <w:bottom w:val="nil"/>
              <w:end w:val="nil"/>
            </w:tcBorders>
            <w:shd w:color="auto" w:fill="auto"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394" w:type="dxa"/>
            <w:tcBorders>
              <w:top w:val="nil"/>
              <w:start w:val="nil"/>
              <w:bottom w:val="nil"/>
              <w:end w:val="single" w:sz="4" w:space="0" w:color="D9D9D9"/>
            </w:tcBorders>
            <w:shd w:color="auto" w:fill="auto" w:val="clear"/>
            <w:vAlign w:val="center"/>
          </w:tcPr>
          <w:p>
            <w:pPr>
              <w:pStyle w:val="Normal"/>
              <w:widowControl w:val="false"/>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120"/>
              <w:jc w:val="both"/>
              <w:rPr>
                <w:rFonts w:cs="Calibri" w:cstheme="minorHAnsi"/>
                <w:color w:themeColor="text1" w:themeTint="bf" w:val="404040"/>
                <w:sz w:val="20"/>
                <w:szCs w:val="20"/>
              </w:rPr>
            </w:pPr>
            <w:r>
              <w:rPr>
                <w:rFonts w:cs="Calibri" w:cstheme="minorHAnsi"/>
                <w:color w:themeColor="text1" w:themeTint="bf" w:val="404040"/>
                <w:sz w:val="20"/>
                <w:szCs w:val="2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uppressAutoHyphens w:val="true"/>
              <w:spacing w:lineRule="auto" w:line="240" w:before="0" w:after="0"/>
              <w:ind w:end="175"/>
              <w:jc w:val="both"/>
              <w:rPr>
                <w:rFonts w:cs="Calibri" w:cstheme="minorHAnsi"/>
                <w:color w:themeColor="text1" w:themeTint="bf" w:val="404040"/>
                <w:sz w:val="20"/>
                <w:szCs w:val="20"/>
              </w:rPr>
            </w:pPr>
            <w:r>
              <w:rPr>
                <w:rFonts w:cs="Calibri" w:cstheme="minorHAnsi"/>
                <w:color w:themeColor="text1" w:themeTint="bf" w:val="404040"/>
                <w:sz w:val="20"/>
                <w:szCs w:val="20"/>
              </w:rPr>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uppressAutoHyphens w:val="true"/>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uppressAutoHyphens w:val="true"/>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uppressAutoHyphens w:val="true"/>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82"/>
        <w:gridCol w:w="8080"/>
        <w:gridCol w:w="428"/>
        <w:gridCol w:w="992"/>
      </w:tblGrid>
      <w:tr>
        <w:trPr/>
        <w:tc>
          <w:tcPr>
            <w:tcW w:w="9782" w:type="dxa"/>
            <w:gridSpan w:val="4"/>
            <w:tcBorders>
              <w:top w:val="nil"/>
              <w:start w:val="nil"/>
              <w:bottom w:val="single" w:sz="24"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4"/>
            <w:tcBorders>
              <w:top w:val="single"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rHeight w:val="283" w:hRule="atLeast"/>
        </w:trPr>
        <w:tc>
          <w:tcPr>
            <w:tcW w:w="8362"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428"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5</w:t>
            </w:r>
          </w:p>
        </w:tc>
        <w:tc>
          <w:tcPr>
            <w:tcW w:w="992"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c>
          <w:tcPr>
            <w:tcW w:w="282"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Authentification JWT, cookies HTTP-only, middleware Next.js et sessions Redis  </w:t>
              <w:tab/>
              <w:t>5</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5</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Validation des données et protection des routes API avec Zod et middleware Next.js  </w:t>
              <w:tab/>
              <w:t>7</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7</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Système de réactions universel posts/stories/commentaires — 11 commits  </w:t>
              <w:tab/>
              <w:t>9</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9</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rHeight w:val="170" w:hRule="atLeast"/>
        </w:trPr>
        <w:tc>
          <w:tcPr>
            <w:tcW w:w="282" w:type="dxa"/>
            <w:tcBorders>
              <w:top w:val="nil"/>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val="D60093"/>
                <w:sz w:val="12"/>
                <w:szCs w:val="12"/>
                <w:lang w:eastAsia="fr-FR"/>
              </w:rPr>
            </w:pPr>
            <w:r>
              <w:rPr>
                <w:rFonts w:cs="Calibri" w:cstheme="minorHAnsi"/>
                <w:color w:val="D60093"/>
                <w:sz w:val="12"/>
                <w:szCs w:val="12"/>
                <w:lang w:eastAsia="fr-FR"/>
              </w:rPr>
            </w:r>
          </w:p>
        </w:tc>
        <w:tc>
          <w:tcPr>
            <w:tcW w:w="8080" w:type="dxa"/>
            <w:tcBorders>
              <w:top w:val="nil"/>
              <w:start w:val="nil"/>
              <w:bottom w:val="nil"/>
              <w:end w:val="nil"/>
            </w:tcBorders>
          </w:tcPr>
          <w:p>
            <w:pPr>
              <w:pStyle w:val="Normal"/>
              <w:widowControl/>
              <w:tabs>
                <w:tab w:val="clear" w:pos="709"/>
                <w:tab w:val="left" w:pos="34" w:leader="none"/>
                <w:tab w:val="left" w:pos="3522"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428" w:type="dxa"/>
            <w:tcBorders>
              <w:top w:val="nil"/>
              <w:start w:val="nil"/>
              <w:bottom w:val="nil"/>
              <w:end w:val="nil"/>
            </w:tcBorders>
            <w:vAlign w:val="bottom"/>
          </w:tcPr>
          <w:p>
            <w:pPr>
              <w:pStyle w:val="Normal"/>
              <w:widowControl/>
              <w:suppressAutoHyphens w:val="true"/>
              <w:spacing w:lineRule="auto" w:line="240" w:before="0" w:after="0"/>
              <w:jc w:val="center"/>
              <w:rPr>
                <w:rFonts w:cs="Calibri" w:cstheme="minorHAnsi"/>
                <w:color w:themeColor="text1" w:themeTint="bf" w:val="404040"/>
                <w:sz w:val="12"/>
                <w:szCs w:val="12"/>
              </w:rPr>
            </w:pPr>
            <w:r>
              <w:rPr>
                <w:rFonts w:cs="Calibri" w:cstheme="minorHAnsi"/>
                <w:color w:themeColor="text1" w:themeTint="bf" w:val="404040"/>
                <w:sz w:val="12"/>
                <w:szCs w:val="12"/>
              </w:rPr>
            </w:r>
          </w:p>
        </w:tc>
        <w:tc>
          <w:tcPr>
            <w:tcW w:w="992" w:type="dxa"/>
            <w:tcBorders>
              <w:top w:val="single" w:sz="8" w:space="0" w:color="F2F2F2"/>
              <w:start w:val="nil"/>
              <w:bottom w:val="nil"/>
              <w:end w:val="nil"/>
            </w:tcBorders>
            <w:vAlign w:val="center"/>
          </w:tcPr>
          <w:p>
            <w:pPr>
              <w:pStyle w:val="Normal"/>
              <w:widowControl/>
              <w:suppressAutoHyphens w:val="true"/>
              <w:spacing w:lineRule="auto" w:line="240" w:before="0" w:after="0"/>
              <w:jc w:val="start"/>
              <w:rPr>
                <w:rFonts w:cs="Calibri" w:cstheme="minorHAnsi"/>
                <w:color w:themeColor="text1" w:themeTint="bf" w:val="404040"/>
                <w:sz w:val="12"/>
                <w:szCs w:val="12"/>
                <w:lang w:eastAsia="fr-FR"/>
              </w:rPr>
            </w:pPr>
            <w:r>
              <w:rPr>
                <w:rFonts w:cs="Calibri" w:cstheme="minorHAnsi"/>
                <w:color w:themeColor="text1" w:themeTint="bf" w:val="404040"/>
                <w:sz w:val="12"/>
                <w:szCs w:val="12"/>
                <w:lang w:eastAsia="fr-FR"/>
              </w:rPr>
            </w:r>
          </w:p>
        </w:tc>
      </w:tr>
      <w:tr>
        <w:trPr/>
        <w:tc>
          <w:tcPr>
            <w:tcW w:w="8362"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428"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11</w:t>
            </w:r>
          </w:p>
        </w:tc>
        <w:tc>
          <w:tcPr>
            <w:tcW w:w="992"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c>
          <w:tcPr>
            <w:tcW w:w="282"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Conception de l'architecture full-stack en couches et schéma Prisma (18 modèles)  </w:t>
              <w:tab/>
              <w:t>11</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11</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Messagerie et notifications temps réel — Server-Sent Events et Upstash Redis  </w:t>
              <w:tab/>
              <w:t>13</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13</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Design system dark mode, thème provider et composant de création de posts multi-médias  </w:t>
              <w:tab/>
              <w:t>15</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15</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nil"/>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080" w:type="dxa"/>
            <w:tcBorders>
              <w:top w:val="nil"/>
              <w:start w:val="nil"/>
              <w:bottom w:val="nil"/>
              <w:end w:val="nil"/>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0" w:after="0"/>
              <w:jc w:val="center"/>
              <w:rPr>
                <w:rFonts w:cs="Calibri" w:cstheme="minorHAnsi"/>
                <w:color w:themeColor="text1" w:themeTint="bf" w:val="404040"/>
                <w:sz w:val="12"/>
                <w:szCs w:val="12"/>
              </w:rPr>
            </w:pPr>
            <w:r>
              <w:rPr>
                <w:rFonts w:cs="Calibri" w:cstheme="minorHAnsi"/>
                <w:color w:themeColor="text1" w:themeTint="bf" w:val="404040"/>
                <w:sz w:val="12"/>
                <w:szCs w:val="12"/>
              </w:rPr>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r>
      <w:tr>
        <w:trPr/>
        <w:tc>
          <w:tcPr>
            <w:tcW w:w="8362"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428"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17</w:t>
            </w:r>
          </w:p>
        </w:tc>
        <w:tc>
          <w:tcPr>
            <w:tcW w:w="992"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c>
          <w:tcPr>
            <w:tcW w:w="282"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Containerisation Docker multi-stage et pipeline CI/CD GitHub Actions  </w:t>
              <w:tab/>
              <w:t>17</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17</w:t>
            </w:r>
          </w:p>
        </w:tc>
        <w:tc>
          <w:tcPr>
            <w:tcW w:w="992" w:type="dxa"/>
            <w:tcBorders>
              <w:top w:val="nil"/>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Déploiement en production sur Vercel avec PostgreSQL Neon et migrations Prisma  </w:t>
              <w:tab/>
              <w:t>19</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19</w:t>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Monitoring, observabilité et documentation opérationnelle du déploiement  </w:t>
              <w:tab/>
              <w:t>21</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21</w:t>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nil"/>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080" w:type="dxa"/>
            <w:tcBorders>
              <w:top w:val="nil"/>
              <w:start w:val="nil"/>
              <w:bottom w:val="nil"/>
              <w:end w:val="nil"/>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0" w:after="0"/>
              <w:jc w:val="center"/>
              <w:rPr>
                <w:rFonts w:cs="Calibri" w:cstheme="minorHAnsi"/>
                <w:color w:themeColor="text1" w:themeTint="bf" w:val="404040"/>
                <w:sz w:val="12"/>
                <w:szCs w:val="12"/>
              </w:rPr>
            </w:pPr>
            <w:r>
              <w:rPr>
                <w:rFonts w:cs="Calibri" w:cstheme="minorHAnsi"/>
                <w:color w:themeColor="text1" w:themeTint="bf" w:val="404040"/>
                <w:sz w:val="12"/>
                <w:szCs w:val="12"/>
              </w:rPr>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r>
      <w:tr>
        <w:trPr/>
        <w:tc>
          <w:tcPr>
            <w:tcW w:w="8362"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23</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8362"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24</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8362"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25</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8362"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26</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bl>
    <w:p>
      <w:pPr>
        <w:pStyle w:val="Normal"/>
        <w:tabs>
          <w:tab w:val="clear" w:pos="709"/>
          <w:tab w:val="left" w:pos="567" w:leader="none"/>
          <w:tab w:val="right" w:pos="9072" w:leader="dot"/>
        </w:tabs>
        <w:spacing w:lineRule="auto" w:line="240" w:before="0" w:after="120"/>
        <w:rPr>
          <w:rFonts w:cs="Calibri" w:cstheme="minorHAnsi"/>
          <w:color w:themeColor="text1" w:themeTint="bf" w:val="404040"/>
        </w:rPr>
      </w:pPr>
      <w:r>
        <w:rPr>
          <w:rFonts w:cs="Calibri" w:cstheme="minorHAnsi"/>
          <w:color w:themeColor="text1" w:themeTint="bf" w:val="404040"/>
        </w:rPr>
      </w:r>
    </w:p>
    <w:p>
      <w:pPr>
        <w:pStyle w:val="Normal"/>
        <w:spacing w:before="0" w:after="200"/>
        <w:rPr>
          <w:rFonts w:cs="Calibri" w:cstheme="minorHAnsi"/>
          <w:color w:themeColor="text1" w:themeTint="bf" w:val="404040"/>
        </w:rPr>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7" w:right="1417" w:gutter="0" w:header="737" w:top="1417" w:footer="510" w:bottom="1417"/>
          <w:pgNumType w:fmt="decimal"/>
          <w:formProt w:val="false"/>
          <w:textDirection w:val="lrTb"/>
          <w:docGrid w:type="default" w:linePitch="360" w:charSpace="0"/>
        </w:sectPr>
      </w:pPr>
      <w:r>
        <w:rPr>
          <w:rFonts w:cs="Calibri" w:cstheme="minorHAnsi"/>
          <w:color w:themeColor="text1" w:themeTint="bf" w:val="404040"/>
        </w:rPr>
      </w: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5"/>
        <w:gridCol w:w="48"/>
        <w:gridCol w:w="521"/>
        <w:gridCol w:w="1180"/>
        <w:gridCol w:w="142"/>
        <w:gridCol w:w="567"/>
        <w:gridCol w:w="4396"/>
      </w:tblGrid>
      <w:tr>
        <w:trPr>
          <w:trHeight w:val="680"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cs="Calibri" w:cstheme="minorHAnsi"/>
                <w:b/>
                <w:color w:val="D60093"/>
                <w:sz w:val="36"/>
                <w:szCs w:val="36"/>
              </w:rPr>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r>
              <w:rPr>
                <w:rFonts w:cs="Calibri" w:cstheme="minorHAnsi"/>
                <w:b/>
                <w:color w:val="D60093"/>
                <w:sz w:val="36"/>
                <w:szCs w:val="36"/>
              </w:rPr>
            </w:r>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rPr>
            </w:pPr>
            <w:sdt>
              <w:sdtPr>
                <w:alias w:val="Intitulé de l'activité"/>
                <w:tag w:val="Intitulé de l'activité"/>
                <w:id w:val="2113311891"/>
                <w:placeholder>
                  <w:docPart w:val="05516317A58C4C669ED7E573BAEACD31"/>
                </w:placeholder>
                <w:text/>
              </w:sdtPr>
              <w:sdtContent>
                <w:r>
                  <w:rPr>
                    <w:rFonts w:eastAsia="Calibri" w:cs=""/>
                    <w:kern w:val="0"/>
                    <w:sz w:val="22"/>
                    <w:szCs w:val="22"/>
                    <w:lang w:val="fr-FR" w:eastAsia="en-US" w:bidi="ar-SA"/>
                  </w:rPr>
                </w:r>
                <w:r>
                  <w:rPr>
                    <w:rFonts w:eastAsia="Calibri" w:cs=""/>
                    <w:kern w:val="0"/>
                    <w:sz w:val="22"/>
                    <w:szCs w:val="22"/>
                    <w:lang w:val="fr-FR" w:eastAsia="en-US" w:bidi="ar-SA"/>
                  </w:rPr>
                  <w:t>Développer une application sécurisée (authentification JWT/Redis, validation Zod, système de réactions)</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r>
                <w:r>
                  <w:rPr>
                    <w:rFonts w:eastAsia="Calibri" w:cs=""/>
                    <w:kern w:val="0"/>
                    <w:sz w:val="22"/>
                    <w:szCs w:val="22"/>
                    <w:lang w:val="fr-FR" w:eastAsia="en-US" w:bidi="ar-SA"/>
                  </w:rPr>
                  <w:t>Authentification JWT, cookies HTTP-only, middleware Next.js et sessions Redis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conçu et développé le système d'authentification complet du réseau social : inscription, connexion, déconnexion, protection des routes, et intégration OAuth Google. Cette responsabilité couvrait la chaîne entière de sécurité, de la validation des données d'entrée jusqu'à la protection de chaque requête API. Route d'inscription /api/public/auth/register : validation Zod (email, mot de passe min. 8 caractères, unicité), hachage bcrypt cost factor 12, création de l'utilisateur via Prisma (model User), génération du JWT initial et placement en cookie HTTP-only. Route de connexion /api/public/auth/login : vérification de l'existence du compte, comparaison bcrypt, génération JWT signé avec jose (SignJWT, secret JWT_SECRET), cookie HTTP-only Secure SameSite=Lax maxAge 86400, création d'une entrée session en Redis. Middleware Next.js (src/middleware.ts) : interception de toutes les requêtes /api/private/**, vérification JWT (jose jwtVerify), extraction du userId et injection dans le header x-user-id, réponse 401 pour token absent ou invalide, passthrough pour les routes publiques. Sessions Redis : clé session:{uuid} -&gt; userId avec TTL 24h ; suppression explicite à la déconnexion pour l'invalidation immédiate sans attendre l'expiration du JWT. OAuth Google : route de redirection avec state anti-CSRF signé, callback avec récupération profil Google, upsert Prisma de l'utilisateur, génération JWT local. Extrait — génération JWT et placement en cookie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r>
                <w:r>
                  <w:rPr>
                    <w:rFonts w:eastAsia="Calibri" w:cs=""/>
                    <w:kern w:val="0"/>
                    <w:sz w:val="22"/>
                    <w:szCs w:val="22"/>
                    <w:lang w:val="fr-FR" w:eastAsia="en-US" w:bidi="ar-SA"/>
                  </w:rPr>
                  <w:t>Next.js 15 App Router — route handlers POST, middleware Edge Runtime jose — JWT compatible Edge Runtime (SignJWT, jwtVerify), contrairement à jsonwebtoken qui nécessite Node.js bcrypt — hachage avec cost factor 12 (≈200ms/hash, résistant brute-force) Upstash Redis (@upstash/redis) — sessions côté serveur, API REST compatible serverless Prisma ORM — requêtes User (findUnique, create, upsert) Zod — schémas loginSchema et registerSchema avec messages d'erreur localisés</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r>
                <w:r>
                  <w:rPr>
                    <w:rFonts w:eastAsia="Calibri" w:cs=""/>
                    <w:kern w:val="0"/>
                    <w:sz w:val="22"/>
                    <w:szCs w:val="22"/>
                    <w:lang w:val="fr-FR" w:eastAsia="en-US" w:bidi="ar-SA"/>
                  </w:rPr>
                  <w:t>Développement en autonomie au sein d'une équipe de 6. Les décisions architecturales (JWT HTTP-only vs localStorage, Redis pour l'invalidation) ont fait l'objet de discussions collectives documentées dans les issues GitHub. Les revues de code ont amélioré le code : ajout de SameSite=Lax (CSRF), centralisation de la création du cookie dans un helper réutilisable.</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Authentification &amp; Sécurité</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Cookie HTTP-only vs localStorage Le localStorage est accessible depuis JavaScript client et vulnérable aux attaques XSS. Un cookie HTTP-only est invisible du JavaScript, même en cas d'injection de code malveillant. L'attribut SameSite=Lax protège contre le CSRF en bloquant l'envoi du cookie depuis des sites tiers. Ces choix sont conformes à l'OWASP Authentication Cheat Sheet (A07:2021 — Identification and Authentication Failures). Redis pour l'invalidation des sessions Un JWT stateless est valide jusqu'à expiration, même après déconnexion. Sans Redis, une session volée resterait exploitable 24h. Avec Redis, la déconnexion supprime la clé et le middleware rejette immédiatement le token, même cryptographiquement valide. Ce mécanisme est documenté dans la PR #118. Compatibilité Edge Runtime Le middleware Next.js s'exécute dans un contexte Edge (pas de Node.js complet), incompatible avec jsonwebtoken standard. La migration vers jose (100% Web Crypto API) a nécessité de réécrire les helpers de signature en utilisant TextEncoder et crypto.subtle. La gestion des cookies Secure a également requis un paramétrage dynamique selon NODE_ENV (HTTP en dev, HTTPS en prod Vercel).</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r>
                <w:r>
                  <w:rPr>
                    <w:rFonts w:eastAsia="Calibri" w:cs=""/>
                    <w:kern w:val="0"/>
                    <w:sz w:val="22"/>
                    <w:szCs w:val="22"/>
                    <w:lang w:val="fr-FR" w:eastAsia="en-US" w:bidi="ar-SA"/>
                  </w:rPr>
                  <w:t>Validation des données et protection des routes API avec Zod et middleware Next.js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r>
                <w:r>
                  <w:rPr>
                    <w:rFonts w:eastAsia="Calibri" w:cs=""/>
                    <w:kern w:val="0"/>
                    <w:sz w:val="22"/>
                    <w:szCs w:val="22"/>
                    <w:lang w:val="fr-FR" w:eastAsia="en-US" w:bidi="ar-SA"/>
                  </w:rPr>
                  <w:t>En complément de l'authentification, j'ai mis en place une stratégie de validation et de contrôle d'accès couvrant l'ensemble des endpoints API du projet. Bibliothèque de 36 schémas Zod partagés (src/lib/schemas/) : User (inscription, profil), Post, Comment, Reaction, Story, Group, GroupMember, Message, Notification. Chaque schéma définit types, contraintes (longueur, format email/URL, enum), et messages d'erreur localisés. Validation systématique dans les route handlers : safeParse avant tout traitement métier, retour 400 avec rapport d'erreurs structuré en cas d'échec. Contrôle d'accès par ressource (ownership) : vérification que l'userId du token correspond à l'auteur de la ressource avant modification. Retour 403 Forbidden (authentifié mais non autorisé) et non 401 (non authentifié) — distinction sémantique importante. Helpers de réponse standardisés (src/lib/server/api/response.ts) : createSuccessResponse, createErrorResponse, createValidationError, createUnauthorized, createForbidden, createNotFound — format JSON uniforme { success, data?, error: { code, message, details? } }. Extrait — route handler protégé avec validation Zod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Zod (TypeScript-first) — safeParse, z.infer&lt;typeof schema&gt;, flatten().fieldErrors Next.js middleware — interception uniforme, injection header x-user-id Prisma — ownership check (findUnique avec authorId: userId) HTTP status codes sémantiques — 200, 201, 400, 401, 403, 404, 409, 500</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Coordination avec les 6 membres de l'équipe pour aligner les structures de données front/back. Chaque développeur a appliqué les patterns dans ses routes, avec revues croisées. L'audit des routes existantes a révélé 4 routes non protégées, toutes corrigées avant mise en production.</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Couche API &amp; Sécurité des données</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r>
                <w:r>
                  <w:rPr>
                    <w:rFonts w:eastAsia="Calibri" w:cs=""/>
                    <w:kern w:val="0"/>
                    <w:sz w:val="22"/>
                    <w:szCs w:val="22"/>
                    <w:lang w:val="fr-FR" w:eastAsia="en-US" w:bidi="ar-SA"/>
                  </w:rPr>
                  <w:t>Validation isomorphique avec Zod L'avantage principal de Zod est l'inférence de types TypeScript : z.infer&lt;typeof postCreateSchema&gt; produit automatiquement le type correspondant. Le même schéma peut être utilisé dans react-hook-form côté client (zodResolver) et dans le route handler côté serveur. Quand un champ est modifié dans le schéma, TypeScript signale immédiatement les usages incohérents dans tout le code. Bilan sécurité L'audit des routes avant mise en production a identifié 4 vulnérabilités : une route de recherche d'utilisateurs exposant les profils privés sans authentification, une route d'upload sans vérification de la taille des fichiers (risque de déni de service), et deux routes de modification sans contrôle d'ownership. Ces failles ont été corrigées. Ce travail illustre la valeur d'une approche security-first systématique.</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r>
                <w:r>
                  <w:rPr>
                    <w:rFonts w:eastAsia="Calibri" w:cs=""/>
                    <w:kern w:val="0"/>
                    <w:sz w:val="22"/>
                    <w:szCs w:val="22"/>
                    <w:lang w:val="fr-FR" w:eastAsia="en-US" w:bidi="ar-SA"/>
                  </w:rPr>
                  <w:t>Système de réactions universel posts/stories/commentaires — contribution personnelle majeure (11 commits)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 système de réactions est ma contribution personnelle la plus complète : de la conception du modèle Prisma jusqu'aux composants React avec mise à jour temps réel. Il permet aux utilisateurs d'exprimer 8 types de réactions sur trois types de contenus. Conception du modèle Reaction dans prisma/schema.prisma : table unique avec champs optionnels postId?, storyId?, commentId? et trois contraintes @@unique composites garantissant l'unicité côté base de données. Relation cascade (onDelete: Cascade) sur tous les parents pour nettoyer les réactions orphelines. Endpoints API : POST /api/private/reaction (upsert — créer, modifier ou supprimer selon le type) ; DELETE /api/private/reaction/:id. La logique upsert gère l'idempotence : même type → suppression de la réaction, type différent → mise à jour. Composants React : ReactionButton (emoji courant ou pouce par défaut), ReactionPicker (popup 8 types au survol), ReactionCount (total par type avec tooltip). Props distinctes postId?, storyId?, commentId? pour les trois types de contenus. Temps réel (commit 0ca9588) : après action de l'utilisateur, mise à jour optimiste de l'UI + resync via endpoint SSE dédié propageant les nouvelles réactions à tous les clients connectés visualisant le même post. Refacto likeCache → useState (commit 98ba457) : remplacement du singleton partagé par un état local par composant pour éviter les effets de bord entre instances multiples du même composant. UX (commits e28ff5a, f0371ae, 931065b) : positionnement du popup pour éviter les débordements viewport, fermeture au clic extérieur, délai d'apparition au survol. Extrait — modèle Prisma avec contraintes d'unicité composites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Prisma ORM — modèle Reaction, upsert, groupBy pour les counts par type Next.js Route Handlers — CRUD réactions avec validation Zod (reactionSchema) React — useState local (refacto du singleton), useEffect pour synchronisation TypeScript — typage strict props (ReactionType enum, counts Record&lt;ReactionType, number&gt;) SSE (Server-Sent Events) — propagation temps réel des nouvelles réactions Tailwind CSS — positionnement popup, animations hover</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r>
                <w:r>
                  <w:rPr>
                    <w:rFonts w:eastAsia="Calibri" w:cs=""/>
                    <w:kern w:val="0"/>
                    <w:sz w:val="22"/>
                    <w:szCs w:val="22"/>
                    <w:lang w:val="fr-FR" w:eastAsia="en-US" w:bidi="ar-SA"/>
                  </w:rPr>
                  <w:t>Développement entièrement en autonomie — 11 commits du 8 au 28 juillet 2025 (158d8ee, b140030, bd56f13, 98ba457, ac9e7f8, 2356107, 1553b17, e28ff5a, 0ca9588, f0371ae, 931065b). Revues de code portant sur l'optimisation des requêtes Prisma (groupBy à la place de plusieurs count séparés) et l'UX du popup.</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Système de réactions universel</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r>
                <w:r>
                  <w:rPr>
                    <w:rFonts w:eastAsia="Calibri" w:cs=""/>
                    <w:kern w:val="0"/>
                    <w:sz w:val="22"/>
                    <w:szCs w:val="22"/>
                    <w:lang w:val="fr-FR" w:eastAsia="en-US" w:bidi="ar-SA"/>
                  </w:rPr>
                  <w:t>Justification du modèle de données Trois architectures étaient envisageables : (1) trois tables séparées PostReaction/StoryReaction/CommentReaction — duplication de logique API ; (2) table polymorphique (type + targetId générique) — perte de l'intégrité référentielle ; (3) table unique avec trois clés étrangères optionnelles — retenue car elle combine intégrité référentielle PostgreSQL native (clés étrangères avec cascade) et simplicité (une seule table à requêter). Les contraintes @@unique composites sont appliquées au niveau de la base de données, pas seulement dans la logique applicative. Une double réaction déclencherait une erreur Prisma P2002 même si la vérification applicative était contournée — defense-in-depth. Évolution architecturale : du singleton au useState L'implémentation initiale utilisait likeCache.ts, un module singleton stockant les états de réaction globalement. Ce pattern causait des effets de bord lors du rendu de plusieurs instances du même composant : modifier la réaction d'un post dans le feed se reflétait incorrectement sur le même post affiché ailleurs. La migration vers useState local a résolu le problème en isolant l'état par instance de composant — un principe fondamental de React.</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5"/>
        <w:gridCol w:w="48"/>
        <w:gridCol w:w="521"/>
        <w:gridCol w:w="1180"/>
        <w:gridCol w:w="142"/>
        <w:gridCol w:w="567"/>
        <w:gridCol w:w="4396"/>
      </w:tblGrid>
      <w:tr>
        <w:trPr>
          <w:trHeight w:val="680"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start"/>
              <w:rPr>
                <w:rFonts w:cs="Calibri" w:cstheme="minorHAnsi"/>
                <w:b/>
                <w:color w:val="D60093"/>
                <w:sz w:val="36"/>
                <w:szCs w:val="36"/>
              </w:rPr>
            </w:pPr>
            <w:r>
              <w:rPr>
                <w:rFonts w:cs="Calibri" w:cstheme="minorHAnsi"/>
                <w:b/>
                <w:color w:val="D60093"/>
                <w:sz w:val="36"/>
                <w:szCs w:val="36"/>
              </w:rPr>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r>
              <w:rPr>
                <w:rFonts w:cs="Calibri" w:cstheme="minorHAnsi"/>
                <w:b/>
                <w:color w:val="D60093"/>
                <w:sz w:val="36"/>
                <w:szCs w:val="36"/>
              </w:rPr>
            </w:r>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sdt>
              <w:sdtPr>
                <w:dropDownList>
                  <w:listItem w:displayText="2" w:value="2"/>
                  <w:listItem w:displayText="3" w:value="3"/>
                  <w:listItem w:displayText="4" w:value="4"/>
                  <w:listItem w:displayText="5" w:value="5"/>
                </w:dropDownList>
              </w:sdtPr>
              <w:sdtContent>
                <w:r>
                  <w:rPr/>
                </w:r>
                <w:r>
                  <w:rPr/>
                  <w:t>2</w:t>
                </w:r>
              </w:sdtContent>
            </w:sdt>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rPr>
            </w:pPr>
            <w:sdt>
              <w:sdtPr>
                <w:alias w:val="Intitulé de l'activité"/>
                <w:tag w:val="Intitulé de l'activité"/>
                <w:id w:val="135233077"/>
                <w:placeholder>
                  <w:docPart w:val="D85852D8675446C4BAB86542E25672BC"/>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Concevoir et développer une application sécurisée organisée en couches (architecture, messagerie SSE, design system)</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Conception de l'architecture full-stack en couches et schéma de données Prisma (18 modèles)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participé à la conception de l'architecture du projet et pris en charge la modélisation du schéma Prisma, la production des diagrammes UML, et la documentation de l'architecture dans le dossier de certification. Architecture en 4 couches : présentation (composants React/Tailwind, pages App Router) ; logique métier (route handlers, server actions, helpers de sécurité) ; accès aux données (Prisma ORM, repository-like helpers) ; infrastructure (PostgreSQL, Redis, Cloudinary). Documentation Mermaid dans 04-developpement/. Schéma Prisma 18 modèles : User, Post, Comment, Reaction, Story, Follow, Group, GroupMember, GroupPost, Event, EventMember, Message, Conversation, GroupMessage, Notification, Session, RefreshToken, OAuthAccount. Définition des types (String, Int, Boolean, DateTime, enum), relations bidirectionnelles (@relation), index (@index), contraintes d'unicité et cascades de suppression. Diagrammes UML (03-conception/diagrammes-uml.md) : MCD (entités et cardinalités), MLD (clés étrangères, types logiques), MPD (DDL PostgreSQL), diagramme de classes simplifié (soutenance), diagramme de cas d'utilisation (acteurs Visiteur/Utilisateur/Admin), diagrammes de séquence (authentification, création de post, messagerie SSE). Gestion des migrations Prisma : fichiers versionnés (prisma/migrations/), distinction migrations additives (safe) vs destructives. Commit 06fe9e5 : alignement final UML ↔ schéma avant soutenance. Extrait — architecture des répertoires src/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Prisma ORM 5.x — schéma déclaratif, migrate dev/deploy, client TypeScript généré PostgreSQL 15 (Neon) — stockage relationnel avec contraintes, index, cascades Next.js 15 App Router — Server Components / Client Components / Route Handlers Mermaid — diagrammes d'architecture dans la documentation Markdown TypeScript — typage end-to-end via le client Prisma généré (PrismaClient)</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r>
                <w:r>
                  <w:rPr>
                    <w:rFonts w:eastAsia="Calibri" w:cs=""/>
                    <w:kern w:val="0"/>
                    <w:sz w:val="22"/>
                    <w:szCs w:val="22"/>
                    <w:lang w:val="fr-FR" w:eastAsia="en-US" w:bidi="ar-SA"/>
                  </w:rPr>
                  <w:t>Modélisation collective impliquant les 6 développeurs : chaque membre apportait ses besoins fonctionnels, j'ai synthétisé dans le schéma. Discussions sur la modélisation des groupes (rôles), les notifications polymorphiques, les many-to-many implicites vs tables de jointure explicites. J'ai rédigé le schéma final et les diagrammes.</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Architecture &amp; Modélisation</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r>
                <w:r>
                  <w:rPr>
                    <w:rFonts w:eastAsia="Calibri" w:cs=""/>
                    <w:kern w:val="0"/>
                    <w:sz w:val="22"/>
                    <w:szCs w:val="22"/>
                    <w:lang w:val="fr-FR" w:eastAsia="en-US" w:bidi="ar-SA"/>
                  </w:rPr>
                  <w:t>Server Components vs Client Components Next.js 15 App Router distingue Server Components (SC, exécutés côté serveur, accès direct à Prisma, zéro JavaScript envoyé au client) et Client Components (CC, exécutés côté browser, gèrent l'interactivité). Cette distinction impose une séparation des préoccupations similaire à MVC au niveau du composant. Dans le projet, les pages de feed et profil sont des SC récupérant les données en base, qui passent les données en props à des CC pour l'interactivité (likes, commentaires, navigation). Cascades de suppression Le choix onDelete: Cascade (ex. : supprimer un post supprime ses commentaires et réactions) vs onDelete: SetNull (ex. : supprimer un utilisateur rend ses commentaires anonymes) est une décision de conception importante. Ces choix sont documentés dans le schéma avec des commentaires explicatifs et reflètent des arbitrages métier précis sur le comportement attendu de l'application.</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r>
                <w:r>
                  <w:rPr>
                    <w:rFonts w:eastAsia="Calibri" w:cs=""/>
                    <w:kern w:val="0"/>
                    <w:sz w:val="22"/>
                    <w:szCs w:val="22"/>
                    <w:lang w:val="fr-FR" w:eastAsia="en-US" w:bidi="ar-SA"/>
                  </w:rPr>
                  <w:t>Messagerie et notifications temps réel — Server-Sent Events et Upstash Redis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conçu et développé le système de messagerie instantanée et de notifications en temps réel, en résolvant le défi principal : implémenter du temps réel dans une architecture serverless sans serveur longue durée. Analyse des options : WebSockets (Socket.io, incompatible serverless Vercel — connexions TCP longue durée impossibles), Long Polling (compatible mais latence élevée et charge serveur importante), SSE + Redis polling (compatible serverless, latence acceptable pour un réseau social). Choix documenté dans veille-technique.md. Flux de messagerie : émission via POST /api/private/chat/send (validation Zod, persistance Prisma, écriture Redis clé latest:chat:{userId} avec TTL 60s) ; réception via GET /api/private/chat/listen (ReadableStream SSE, polling Redis getdel toutes les 500ms). Endpoint SSE /api/private/chat/listen : ReadableStream Next.js App Router, boucle de polling Redis avec getdel (lecture+suppression atomique pour déduplication), envoi SSE au format data: {json}\n\n, gestion de la déconnexion via AbortController signal, cleanup à la fermeture du stream. Hook React useRealTimeChat : connexion EventSource, backoff exponentiel sur reconnexion, accumulation des messages dans useState, synchronisation avec le chargement initial REST. Application aux notifications : même architecture pour /api/private/notifications/listen, persistance en base (modèle Notification) + transit Redis. Extrait — endpoint SSE avec polling Redis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r>
                <w:r>
                  <w:rPr>
                    <w:rFonts w:eastAsia="Calibri" w:cs=""/>
                    <w:kern w:val="0"/>
                    <w:sz w:val="22"/>
                    <w:szCs w:val="22"/>
                    <w:lang w:val="fr-FR" w:eastAsia="en-US" w:bidi="ar-SA"/>
                  </w:rPr>
                  <w:t>Server-Sent Events — API HTTP native, flux unidirectionnel serveur → client ReadableStream (Next.js App Router) — SSE compatible Edge Runtime Upstash Redis getdel — atomique : lit et supprime la clé en une opération (déduplication sans race condition) Prisma — persistance durable (Conversation, Message, GroupMessage) EventSource (browser) — reconnexion automatique intégrée</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r>
                <w:r>
                  <w:rPr>
                    <w:rFonts w:eastAsia="Calibri" w:cs=""/>
                    <w:kern w:val="0"/>
                    <w:sz w:val="22"/>
                    <w:szCs w:val="22"/>
                    <w:lang w:val="fr-FR" w:eastAsia="en-US" w:bidi="ar-SA"/>
                  </w:rPr>
                  <w:t>Travail en binôme sur la partie temps réel. Revues portant sur la gestion des cas limites : messages perdus si client déconnecté (résolu par persistance en base avant Redis), doublons (résolu par getdel atomique), reconnexion SSE (gérée par EventSource nativement).</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Messagerie temps réel</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r>
                <w:r>
                  <w:rPr>
                    <w:rFonts w:eastAsia="Calibri" w:cs=""/>
                    <w:kern w:val="0"/>
                    <w:sz w:val="22"/>
                    <w:szCs w:val="22"/>
                    <w:lang w:val="fr-FR" w:eastAsia="en-US" w:bidi="ar-SA"/>
                  </w:rPr>
                  <w:t>Pourquoi SSE plutôt que WebSockets Vercel exécute les route handlers comme des fonctions serverless éphémères. Une connexion WebSocket nécessite un serveur TCP longue durée incompatible. SSE fonctionne sur HTTP standard (Content-Type: text/event-stream) et peut être maintenu le temps de vie d'une fonction serverless. Redis joue le rôle de bus de messages entre instances : l'émetteur écrit dans Redis, le récepteur lit depuis Redis via SSE — coordination sans serveur centralisé. Performance et latence Le polling Redis toutes les 500ms induit une latence moyenne de 250ms (0 à 500ms) entre envoi et réception. Acceptable pour un réseau social. Une amélioration documentée serait d'utiliser Pusher ou Ably (services de messagerie gérés, compatibles serverless, latence &lt; 50ms) pour les cas nécessitant une réactivité plus élevée.</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r>
                <w:r>
                  <w:rPr>
                    <w:rFonts w:eastAsia="Calibri" w:cs=""/>
                    <w:kern w:val="0"/>
                    <w:sz w:val="22"/>
                    <w:szCs w:val="22"/>
                    <w:lang w:val="fr-FR" w:eastAsia="en-US" w:bidi="ar-SA"/>
                  </w:rPr>
                  <w:t>Design system dark mode, thème provider et composant de création de posts multi-médias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défini l'identité visuelle du projet Social Network et développé le composant de création de posts multi-médias, fonctionnalité centrale de l'application, permettant de combiner texte, images, vidéos et GIFs. Mise en place du design system (commits 5399254, 14f9b4a — mai 2025) : variables CSS custom properties dans globals.css — --bgLevel1 à --bgLevel5 (hiérarchie des fonds), --textPrimary/Secondary/Tertiary (niveaux de texte), --borderColor, --accentColor --blue40. Ces tokens sont les seules sources de couleur dans tous les composants. ThemeProvider avec next-themes : persistance du thème en localStorage, injection des variables CSS selon le thème actif (data-theme='dark'), support Server-Side Rendering (attribut defaultTheme depuis le serveur), switch de thème sans FOUC (Flash Of Unstyled Content). Application du thème : page de connexion (commit f3ba6c2), layout global (commit 9c3110b), sélecteur de GIFs adapté aux deux thèmes (commit 5218ef9). Composant CreatePostDialog (commits ef58dc6 à f7e9fb9) : dialog modal responsive, champ texte avec compteur de caractères, sélection multi-médias (images/vidéos) avec prévisualisation locale FileReader, insertion GIF via Giphy API, sélection d'emojis. Upload Cloudinary avec progression avant soumission. Gestion des médias multiples : prévisualisation FileReader (sans upload), grille responsive adaptée au nombre de médias (1, 2, 3, 4+), suppression individuelle, indicateur de progression, support JPEG/PNG/GIF/AVIF/MP4. Extrait — design tokens CSS dark mode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r>
                <w:r>
                  <w:rPr>
                    <w:rFonts w:eastAsia="Calibri" w:cs=""/>
                    <w:kern w:val="0"/>
                    <w:sz w:val="22"/>
                    <w:szCs w:val="22"/>
                    <w:lang w:val="fr-FR" w:eastAsia="en-US" w:bidi="ar-SA"/>
                  </w:rPr>
                  <w:t>CSS Custom Properties — design tokens pour la palette, point de modification unique next-themes — dark/light mode avec persistance localStorage et SSR sans FOUC Cloudinary SDK (@cloudinary/next) — upload médias, transformation à la volée, URLs CDN FileReader API — prévisualisation locale avant upload (sans requête réseau) Giphy API — recherche et insertion GIFs animés React Hook Form + Zod — formulaire de création de post avec validation</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r>
                <w:r>
                  <w:rPr>
                    <w:rFonts w:eastAsia="Calibri" w:cs=""/>
                    <w:kern w:val="0"/>
                    <w:sz w:val="22"/>
                    <w:szCs w:val="22"/>
                    <w:lang w:val="fr-FR" w:eastAsia="en-US" w:bidi="ar-SA"/>
                  </w:rPr>
                  <w:t>Design system défini en autonomie en mai 2025, adopté par toute l'équipe. Documentation des variables dans le README pour éviter les valeurs codées en dur. CreatePostDialog développé seul, revues portant sur l'accessibilité (labels ARIA, support clavier du modal) et la performance de l'upload.</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Design system &amp; Composants UI</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r>
                <w:r>
                  <w:rPr>
                    <w:rFonts w:eastAsia="Calibri" w:cs=""/>
                    <w:kern w:val="0"/>
                    <w:sz w:val="22"/>
                    <w:szCs w:val="22"/>
                    <w:lang w:val="fr-FR" w:eastAsia="en-US" w:bidi="ar-SA"/>
                  </w:rPr>
                  <w:t>Importance du design system en équipe Sans tokens de couleur partagés, chaque développeur utilise ses propres valeurs hexadécimales, résultant en une interface incohérente. Les variables CSS permettent de changer toute la palette en modifiant un seul fichier. La sémantique --bgLevel1 à --bgLevel5 (hiérarchie de fonds) est bien plus expressive que des valeurs de gris arbitraires et facilite la maintenance sur le long terme. Upload multi-médias et UX Le flux d'upload illustre la gestion asynchrone dans un composant complexe : sélection de fichiers → prévisualisation locale immédiate (FileReader, zéro latence réseau) → upload parallèle sur Cloudinary (Promise.all) au moment de la publication → création du post en base avec les URLs CDN retournées. Ce flux à deux étapes découple la prévisualisation de l'upload et offre une meilleure UX en cas d'échec partiel d'un fichier.</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5"/>
        <w:gridCol w:w="48"/>
        <w:gridCol w:w="521"/>
        <w:gridCol w:w="1180"/>
        <w:gridCol w:w="142"/>
        <w:gridCol w:w="567"/>
        <w:gridCol w:w="4396"/>
      </w:tblGrid>
      <w:tr>
        <w:trPr>
          <w:trHeight w:val="680"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cs="Calibri" w:cstheme="minorHAnsi"/>
                <w:b/>
                <w:color w:val="D60093"/>
                <w:sz w:val="36"/>
                <w:szCs w:val="36"/>
              </w:rPr>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r>
              <w:rPr>
                <w:rFonts w:cs="Calibri" w:cstheme="minorHAnsi"/>
                <w:b/>
                <w:color w:val="D60093"/>
                <w:sz w:val="36"/>
                <w:szCs w:val="36"/>
              </w:rPr>
            </w:r>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sdt>
              <w:sdtPr>
                <w:dropDownList>
                  <w:listItem w:displayText="2" w:value="2"/>
                  <w:listItem w:displayText="3" w:value="3"/>
                  <w:listItem w:displayText="4" w:value="4"/>
                  <w:listItem w:displayText="5" w:value="5"/>
                </w:dropDownList>
              </w:sdtPr>
              <w:sdtContent>
                <w:r>
                  <w:rPr/>
                </w:r>
                <w:r>
                  <w:rPr/>
                  <w:t>3</w:t>
                </w:r>
              </w:sdtContent>
            </w:sdt>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rPr>
            </w:pPr>
            <w:sdt>
              <w:sdtPr>
                <w:alias w:val="Intitulé de l'activité"/>
                <w:tag w:val="Intitulé de l'activité"/>
                <w:id w:val="-860819542"/>
                <w:placeholder>
                  <w:docPart w:val="14046861018B4809A6241D4E948106D1"/>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Préparer le déploiement d'une application sécurisée (Docker CI/CD, Vercel/Neon, monitoring opérationnel)</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Containerisation Docker multi-stage et pipeline CI/CD GitHub Actions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conçu et mis en place la chaîne de build et d'intégration continue : Dockerfile multi-stage optimisé pour la production, docker-compose.yml avec profils dev/prod, et pipeline GitHub Actions automatisé. Dockerfile multi-stage : étape builder (oven/bun:1, apt install openssl, bun install, prisma generate, next build --mode standalone) ; étape runner (oven/bun:1 slim, copie uniquement .next/, node_modules/, public/, prisma/). OpenSSL installé aux deux stages (binaires natifs Prisma). Taille image production ≈ 80% plus petite que l'image builder. docker-compose.yml avec profils Docker Compose : profil dev (service app-dev, volume mount du code source, WATCHPACK_POLLING=true pour hot reload dans Docker, chargement .env) ; profil prod (service app, image pré-buildée, sans volume). Un seul fichier gère deux modes. Pipeline GitHub Actions (.github/workflows/ci.yml) : déclenchement push main + Pull Request, oven-sh/setup-bun@v1, étapes bun install --frozen-lockfile, bunx prisma generate, bun run lint, bun run test, bun run build. Détection automatique des régressions avant merge. Résolution des incompatibilités (PR #118) : binaires natifs Prisma incompatibles avec certaines versions de Bun, paramétrage binaryTargets dans schema.prisma, pin des versions dans bun.lock pour reproductibilité. Extrait — Dockerfile multi-stage (simplifié)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r>
                <w:r>
                  <w:rPr>
                    <w:rFonts w:eastAsia="Calibri" w:cs=""/>
                    <w:kern w:val="0"/>
                    <w:sz w:val="22"/>
                    <w:szCs w:val="22"/>
                    <w:lang w:val="fr-FR" w:eastAsia="en-US" w:bidi="ar-SA"/>
                  </w:rPr>
                  <w:t>Docker (multi-stage build) — séparation build/runtime, image production allégée Docker Compose (profils) — orchestration locale dev/prod, variables d'env, volumes GitHub Actions — oven-sh/setup-bun@v1, pipeline lint/test/build Bun 1.x — bun install --frozen-lockfile, bun run test (Jest) ESLint — analyse statique TypeScript Jest + --experimental-vm-modules — tests compatibles ES modules</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r>
                <w:r>
                  <w:rPr>
                    <w:rFonts w:eastAsia="Calibri" w:cs=""/>
                    <w:kern w:val="0"/>
                    <w:sz w:val="22"/>
                    <w:szCs w:val="22"/>
                    <w:lang w:val="fr-FR" w:eastAsia="en-US" w:bidi="ar-SA"/>
                  </w:rPr>
                  <w:t>Travail collaboratif pour la stabilisation. La PR #118 représente le point de convergence après plusieurs semaines d'itérations pour résoudre les incompatibilités Bun/Prisma. J'ai rédigé la configuration finale et documenté les procédures.</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Infrastructure &amp; CI/CD</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9-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r>
                <w:r>
                  <w:rPr>
                    <w:rFonts w:eastAsia="Calibri" w:cs=""/>
                    <w:kern w:val="0"/>
                    <w:sz w:val="22"/>
                    <w:szCs w:val="22"/>
                    <w:lang w:val="fr-FR" w:eastAsia="en-US" w:bidi="ar-SA"/>
                  </w:rPr>
                  <w:t>Multi-stage : optimisation de l'image production L'image builder &gt; 2 Go (devDependencies, TypeScript, ESLint, Prisma CLI, Jest). L'image runner ne contient que les artifacts compilés, dépendances de production et binaires Prisma. Cette séparation réduit la taille de 80%, accélère les déploiements et réduit la surface d'attaque (pas d'outils de build exposés en production). La commande CMD au démarrage (prisma migrate deploy &amp;&amp; bun run start) garantit que les migrations sont appliquées avant le démarrage — sans étape manuelle lors des déploiements. Sûre pour les migrations additives, mais nécessite une procédure spéciale pour les migrations destructives. Valeur concrète du pipeline CI Le pipeline a détecté des régressions réelles avant merge : erreur de lint (variable non utilisée), test cassé après un refactoring du schéma Prisma, erreur de build liée à un import circulaire. Ces détections automatiques ont évité que des bugs n'atteignent la production.</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r>
                <w:r>
                  <w:rPr>
                    <w:rFonts w:eastAsia="Calibri" w:cs=""/>
                    <w:kern w:val="0"/>
                    <w:sz w:val="22"/>
                    <w:szCs w:val="22"/>
                    <w:lang w:val="fr-FR" w:eastAsia="en-US" w:bidi="ar-SA"/>
                  </w:rPr>
                  <w:t>Déploiement en production sur Vercel avec PostgreSQL Neon et migrations Prisma</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configuré et documenté le déploiement en production sur Vercel, avec PostgreSQL Neon comme base de données cloud, Upstash Redis pour le temps réel, et Cloudinary pour les médias. Configuration Vercel : liaison au dépôt GitHub, paramétrage framework Next.js, déploiements automatiques sur push main et Preview sur les branches de feature. Injection des secrets (12 variables) : DATABASE_URL (URL poolée Neon/pgbouncer), DIRECT_URL (connexion directe pour migrations), JWT_SECRET, OAUTH_TOKEN_ENCRYPTION_KEY, UPSTASH_REDIS_REST_URL, UPSTASH_REDIS_REST_TOKEN, CLOUDINARY_CLOUD_NAME/API_KEY/API_SECRET, NEXT_PUBLIC_GIPHY_API_KEY, CLIENT_ID/CLIENT_SECRET/REDIRECT_URL. Documentation dans .env.exemple (sans valeurs). Configuration Prisma pour Neon : deux URLs dans datasource db — url (poolée pgbouncer, pour les requêtes applicatives) et directUrl (connexion directe, pour prisma migrate deploy). Distinction requise car pgbouncer est incompatible avec les migrations multi-étapes de Prisma. Procédure de migration : prisma migrate deploy (idempotent, applique migrations en attente). Procédure documentée pour migrations destructives : backup, déploiement progressif, rollback plan. Checklist post-déploiement : page d'accueil + connexion, création de post, messagerie temps réel, cookies HTTP-only dans DevTools, redirections middleware, SSL. Procédure de rollback : vercel rollback pour retour instantané à un déploiement précédent. Distinction rollback application (Vercel, instantané) vs rollback BDD (manuel, migrations Prisma ne sont pas réversibles automatiquement). Extrait — configuration Prisma pour Neon (datasource db)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r>
                <w:r>
                  <w:rPr>
                    <w:rFonts w:eastAsia="Calibri" w:cs=""/>
                    <w:kern w:val="0"/>
                    <w:sz w:val="22"/>
                    <w:szCs w:val="22"/>
                    <w:lang w:val="fr-FR" w:eastAsia="en-US" w:bidi="ar-SA"/>
                  </w:rPr>
                  <w:t>Vercel — plateforme Next.js, secrets chiffrés, Preview/Production PostgreSQL Neon — serverless, pgbouncer, branches de base de données Prisma Migrate — migrate deploy (production), migrate dev (développement) Upstash Redis — API REST, dashboard monitoring Cloudinary — CDN médias, transformations à la volée Vercel CLI — vercel rollback</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Configuration collective : Prisma/Neon par moi, OAuth Google et Cloudinary par d'autres membres. Coordination stricte sur les secrets : revue systématique des PR, vérification .gitignore, aucune valeur sensible committée.</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Mise en production</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9-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Configuration Neon + Prisma : pourquoi deux URLs Neon est une base de données PostgreSQL serverless avec pgbouncer (pooleur de connexions) pour la scalabilité. Prisma utilise par défaut des connexions persistantes incompatibles avec le serverless. La DATABASE_URL poolée résout ce problème pour les requêtes applicatives. Mais pgbouncer est incompatible avec prisma migrate deploy (qui utilise des transactions multi-étapes). D'où la nécessité d'une DIRECT_URL séparée pour les migrations uniquement. Cette configuration est la référence officielle de Prisma pour les déploiements sur Neon. Sécurité des secrets en production Bonnes pratiques appliquées : (1) aucun secret dans le dépôt Git ; (2) variables Vercel chiffrées au repos ; (3) .env.exemple avec placeholders pour documenter les variables requises ; (4) rotation des secrets possible sans re-déploiement. Conformes aux recommandations du OWASP Secrets Management Cheat Sheet.</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r>
                <w:r>
                  <w:rPr>
                    <w:rFonts w:eastAsia="Calibri" w:cs=""/>
                    <w:kern w:val="0"/>
                    <w:sz w:val="22"/>
                    <w:szCs w:val="22"/>
                    <w:lang w:val="fr-FR" w:eastAsia="en-US" w:bidi="ar-SA"/>
                  </w:rPr>
                  <w:t>Monitoring, observabilité et documentation opérationnelle du déploiement</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défini et documenté la stratégie d'observabilité et les procédures opérationnelles du projet : monitoring des erreurs, surveillance des performances, procédures de rollback, checklist de déploiement, et rédaction de l'intégralité du dossier de certification. Stratégie de monitoring documentée dans 05-deploiement/README.md : logs applicatifs structurés (console structurée côté serveur capturée par Vercel Logs), Vercel Analytics pour les Core Web Vitals (LCP, FID, CLS, TTFB), alertes automatiques sur les échecs de build/déploiement via notifications Vercel + GitHub Actions. Checklist de déploiement : liste vérifiable couvrant les étapes pré-déploiement (backup si migration destructive, vérification CI verte), les étapes de déploiement (push main, monitoring du build Vercel, vérification migration Prisma), et les contrôles post-déploiement (7 points de validation fonctionnelle). Procédures de rollback documentées : vercel rollback (instantané, application uniquement), procédure de restauration de base de données (backup préalable requis car les migrations Prisma ne se rollbackent pas automatiquement), critères de déclenchement du rollback. Documentation des axes d'amélioration : Sentry pour le monitoring d'erreurs avec stack traces (non installé, documenté comme priorité), tests end-to-end Playwright (manquants, documentés), branches de base de données Neon pour isoler les tests. Rédaction de l'intégralité du dossier de certification (commits 537b482 à 0e4066d) : 7 sections (contexte projet, gestion de projet, conception, développement, déploiement, bilan, annexes), diagrammes UML, mapping des 11 compétences RNCP, preuves GitHub vérifiables. Ce dossier est une contribution personnelle à 100%.</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r>
                <w:r>
                  <w:rPr>
                    <w:rFonts w:eastAsia="Calibri" w:cs=""/>
                    <w:kern w:val="0"/>
                    <w:sz w:val="22"/>
                    <w:szCs w:val="22"/>
                    <w:lang w:val="fr-FR" w:eastAsia="en-US" w:bidi="ar-SA"/>
                  </w:rPr>
                  <w:t>Vercel Analytics — Core Web Vitals, LCP, FID, CLS Vercel Logs — fonctions serverless, alertes de déploiement GitHub Actions notifications — alertes email sur pipelines échoués Vercel CLI — vercel rollback, vercel env pull Markdown + Mermaid — documentation technique du dossier de certification</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r>
                <w:r>
                  <w:rPr>
                    <w:rFonts w:eastAsia="Calibri" w:cs=""/>
                    <w:kern w:val="0"/>
                    <w:sz w:val="22"/>
                    <w:szCs w:val="22"/>
                    <w:lang w:val="fr-FR" w:eastAsia="en-US" w:bidi="ar-SA"/>
                  </w:rPr>
                  <w:t>Documentation et monitoring rédigés en autonomie. Le dossier de certification est une contribution personnelle à 100% : structure, rédaction, diagrammes UML, mapping des compétences RNCP, preuves GitHub. Commits 537b482 à 0e4066d entre avril et mai 2026.</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Monitoring &amp; Documentation opérationnelle</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r>
                <w:r>
                  <w:rPr>
                    <w:rFonts w:eastAsia="Calibri" w:cs=""/>
                    <w:kern w:val="0"/>
                    <w:sz w:val="22"/>
                    <w:szCs w:val="22"/>
                    <w:lang w:val="fr-FR" w:eastAsia="en-US" w:bidi="ar-SA"/>
                  </w:rPr>
                  <w:t>Documentation opérationnelle : valeur pour l'équipe Un déploiement réussi ne se limite pas à mettre du code en production. La documentation opérationnelle — procédures de déploiement, checklist, rollback, gestion des secrets — permet à n'importe quel membre de l'équipe d'intervenir en production sans risque d'oublier une étape critique. La checklist de déploiement suit le principe des listes de contrôle utilisées dans l'aviation et la médecine : éliminer les erreurs humaines par omission. Documentation honnête des lacunes Documenter les manques est aussi important que documenter les réussites. J'ai identifié trois axes d'amélioration prioritaires : Sentry (les erreurs de production ne sont actuellement visibles que dans les logs Vercel sans contexte de stack trace), tests end-to-end (seuls des tests unitaires sont en place), et branches Neon pour isoler les tests d'intégration. Cette approche démontre une compréhension mature du cycle de vie d'un produit en production et une capacité à anticiper les prochaines étapes d'amélioration.</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2"/>
        <w:gridCol w:w="4397"/>
        <w:gridCol w:w="2693"/>
      </w:tblGrid>
      <w:tr>
        <w:trPr/>
        <w:tc>
          <w:tcPr>
            <w:tcW w:w="9782" w:type="dxa"/>
            <w:gridSpan w:val="3"/>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color w:themeColor="text1" w:themeTint="bf" w:val="404040"/>
                <w:sz w:val="28"/>
                <w:szCs w:val="28"/>
                <w:lang w:eastAsia="fr-FR"/>
              </w:rPr>
            </w:pPr>
            <w:r>
              <w:rPr>
                <w:rFonts w:cs="Calibri" w:cstheme="minorHAnsi"/>
                <w:color w:themeColor="text1" w:themeTint="bf" w:val="404040"/>
                <w:sz w:val="28"/>
                <w:szCs w:val="28"/>
                <w:lang w:eastAsia="fr-FR"/>
              </w:rPr>
            </w:r>
          </w:p>
        </w:tc>
      </w:tr>
      <w:tr>
        <w:trPr/>
        <w:tc>
          <w:tcPr>
            <w:tcW w:w="2692"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7"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2"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815783948"/>
                <w:placeholder>
                  <w:docPart w:val="10928C2C40A041498AA8ECAF6290BDCD"/>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Concepteur Développeur d'Applications (RNCP 37873) — en cours</w:t>
                </w:r>
              </w:sdtContent>
            </w:sdt>
          </w:p>
        </w:tc>
        <w:tc>
          <w:tcPr>
            <w:tcW w:w="4397"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805660918"/>
                <w:placeholder>
                  <w:docPart w:val="82AA1F2D0AB2438D8F92355CB802BD47"/>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center"/>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t>2023-</w:t>
            </w:r>
            <w:sdt>
              <w:sdtPr>
                <w:alias w:val="date"/>
                <w:tag w:val="date"/>
                <w:id w:val="-731318474"/>
                <w:placeholder>
                  <w:docPart w:val="B86463D8C1EC48B9B1941578679214F9"/>
                </w:placeholder>
                <w:date>
                  <w:dateFormat w:val="dd/MM/yyyy"/>
                  <w:lid w:val="fr-FR"/>
                </w:date>
              </w:sdtPr>
              <w:sdtContent>
                <w:r>
                  <w:rPr>
                    <w:rFonts w:eastAsia="Calibri" w:cs="Calibri" w:cstheme="minorHAnsi"/>
                    <w:b/>
                    <w:color w:themeColor="text1" w:themeTint="bf" w:val="404040"/>
                    <w:kern w:val="0"/>
                    <w:sz w:val="20"/>
                    <w:szCs w:val="20"/>
                    <w:lang w:val="fr-FR" w:eastAsia="en-US" w:bidi="ar-SA"/>
                  </w:rPr>
                </w:r>
                <w:r>
                  <w:rPr>
                    <w:rFonts w:eastAsia="Calibri" w:cs="Calibri" w:cstheme="minorHAnsi"/>
                    <w:b/>
                    <w:color w:themeColor="text1" w:themeTint="bf" w:val="404040"/>
                    <w:kern w:val="0"/>
                    <w:sz w:val="20"/>
                    <w:szCs w:val="20"/>
                    <w:lang w:val="fr-FR" w:eastAsia="en-US" w:bidi="ar-SA"/>
                  </w:rPr>
                  <w:t>2025</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892916534"/>
                <w:placeholder>
                  <w:docPart w:val="C2D1BD9467234066AFFB39BBC18D3357"/>
                </w:placeholder>
                <w:text/>
              </w:sdtPr>
              <w:sdtContent>
                <w:r>
                  <w:rPr>
                    <w:rFonts w:eastAsia="Calibri" w:cs=""/>
                    <w:kern w:val="0"/>
                    <w:sz w:val="22"/>
                    <w:szCs w:val="22"/>
                    <w:lang w:val="fr-FR" w:eastAsia="en-US" w:bidi="ar-SA"/>
                  </w:rPr>
                </w:r>
                <w:r>
                  <w:rPr>
                    <w:rFonts w:eastAsia="Calibri" w:cs=""/>
                    <w:kern w:val="0"/>
                    <w:sz w:val="22"/>
                    <w:szCs w:val="22"/>
                    <w:lang w:val="fr-FR" w:eastAsia="en-US" w:bidi="ar-SA"/>
                  </w:rPr>
                  <w:t>BTS Maintenance des Automatismes Industriels (MAI)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2057810273"/>
                <w:placeholder>
                  <w:docPart w:val="B59CF0344AD343AA9243453A9657E49F"/>
                </w:placeholder>
                <w:text/>
              </w:sdtPr>
              <w:sdtContent>
                <w:r>
                  <w:rPr>
                    <w:rFonts w:eastAsia="Calibri" w:cs=""/>
                    <w:kern w:val="0"/>
                    <w:sz w:val="22"/>
                    <w:szCs w:val="22"/>
                    <w:lang w:val="fr-FR" w:eastAsia="en-US" w:bidi="ar-SA"/>
                  </w:rPr>
                </w:r>
                <w:r>
                  <w:rPr>
                    <w:rFonts w:eastAsia="Calibri" w:cs=""/>
                    <w:kern w:val="0"/>
                    <w:sz w:val="22"/>
                    <w:szCs w:val="22"/>
                    <w:lang w:val="fr-FR" w:eastAsia="en-US" w:bidi="ar-SA"/>
                  </w:rPr>
                  <w:t>Formation initiale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1494297515"/>
                <w:placeholder>
                  <w:docPart w:val="F0095E2B221F4BF687B596967FAA2731"/>
                </w:placeholder>
                <w:date w:fullDate="1905-06-25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2003</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678578469"/>
                <w:placeholder>
                  <w:docPart w:val="30D259F627CA450281987394C08996E5"/>
                </w:placeholder>
                <w:text/>
              </w:sdtPr>
              <w:sdtContent>
                <w:r>
                  <w:rPr>
                    <w:rFonts w:eastAsia="Calibri" w:cs=""/>
                    <w:kern w:val="0"/>
                    <w:sz w:val="22"/>
                    <w:szCs w:val="22"/>
                    <w:lang w:val="fr-FR" w:eastAsia="en-US" w:bidi="ar-SA"/>
                  </w:rPr>
                </w:r>
                <w:r>
                  <w:rPr>
                    <w:rFonts w:eastAsia="Calibri" w:cs=""/>
                    <w:kern w:val="0"/>
                    <w:sz w:val="22"/>
                    <w:szCs w:val="22"/>
                    <w:lang w:val="fr-FR" w:eastAsia="en-US" w:bidi="ar-SA"/>
                  </w:rPr>
                  <w:t>BAC PRO MSMA (Maintenance des Systèmes Mécaniques Automatisés)</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374578029"/>
                <w:placeholder>
                  <w:docPart w:val="C0D9DACF8C4544B692202DDE628295FF"/>
                </w:placeholder>
                <w:text/>
              </w:sdtPr>
              <w:sdtContent>
                <w:r>
                  <w:rPr>
                    <w:rFonts w:eastAsia="Calibri" w:cs=""/>
                    <w:kern w:val="0"/>
                    <w:sz w:val="22"/>
                    <w:szCs w:val="22"/>
                    <w:lang w:val="fr-FR" w:eastAsia="en-US" w:bidi="ar-SA"/>
                  </w:rPr>
                </w:r>
                <w:r>
                  <w:rPr>
                    <w:rFonts w:eastAsia="Calibri" w:cs=""/>
                    <w:kern w:val="0"/>
                    <w:sz w:val="22"/>
                    <w:szCs w:val="22"/>
                    <w:lang w:val="fr-FR" w:eastAsia="en-US" w:bidi="ar-SA"/>
                  </w:rPr>
                  <w:t>Formation initiale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292522842"/>
                <w:placeholder>
                  <w:docPart w:val="EFC2186B720C46389A291839FDB36856"/>
                </w:placeholder>
                <w:date w:fullDate="1905-06-23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2001</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451628179"/>
                <w:placeholder>
                  <w:docPart w:val="3EAD1A09E5464942BFC61C88898D2B67"/>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800489748"/>
                <w:placeholder>
                  <w:docPart w:val="F5985C60163B47329D2D6CA5F29D6F1B"/>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1534421718"/>
                <w:placeholder>
                  <w:docPart w:val="06F6F86613A845FBBEA73E29978025BE"/>
                </w:placeholder>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665603386"/>
                <w:placeholder>
                  <w:docPart w:val="38B593253BF24E51811320228A75F364"/>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74456826"/>
                <w:placeholder>
                  <w:docPart w:val="B8DA26A2CE584A8C96F7872FA31F29A0"/>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1698437198"/>
                <w:placeholder>
                  <w:docPart w:val="4CAD6CF92BE14E55A4D426EC7BB5BF4E"/>
                </w:placeholder>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780377363"/>
                <w:placeholder>
                  <w:docPart w:val="460BDC17DDAA4DCCA87ABA910323E93E"/>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551752405"/>
                <w:placeholder>
                  <w:docPart w:val="3D9E34C9EFD2482FBEE6CEB78AD279A3"/>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2140027505"/>
                <w:placeholder>
                  <w:docPart w:val="E35425E0C6004D2E9D2836E67FD4D62F"/>
                </w:placeholder>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645741622"/>
                <w:placeholder>
                  <w:docPart w:val="8552024EBFC34D68820B56B035D073D9"/>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667283844"/>
                <w:placeholder>
                  <w:docPart w:val="FF5EBAB5B09D4434BD221F82D867A13C"/>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2066251698"/>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34189796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2907731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319159702"/>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872804284"/>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28018676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1624118815"/>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BFBFBF"/>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16991077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BFBFBF"/>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53172023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BFBFBF"/>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1114897667"/>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9"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5"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user"/>
                              <w:spacing w:before="0" w:after="200"/>
                              <w:rPr>
                                <w:i/>
                                <w:color w:themeColor="text1" w:themeTint="bf" w:val="404040"/>
                                <w:sz w:val="24"/>
                                <w:szCs w:val="24"/>
                              </w:rPr>
                            </w:pPr>
                            <w:sdt>
                              <w:sdtPr>
                                <w:alias w:val="Déclaration_dénomination"/>
                                <w:tag w:val="Déclaration_dénomination"/>
                                <w:id w:val="1454910546"/>
                                <w:text/>
                              </w:sdtPr>
                              <w:sdtContent>
                                <w:r>
                                  <w:rPr/>
                                </w:r>
                                <w:r>
                                  <w:rPr/>
                                  <w:t>Christophe Lecart</w:t>
                                </w:r>
                              </w:sdtContent>
                            </w:sdt>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round" endcap="flat"/>
                <v:textbox>
                  <w:txbxContent>
                    <w:p>
                      <w:pPr>
                        <w:pStyle w:val="FrameContentsuser"/>
                        <w:spacing w:before="0" w:after="200"/>
                        <w:rPr>
                          <w:i/>
                          <w:color w:themeColor="text1" w:themeTint="bf" w:val="404040"/>
                          <w:sz w:val="24"/>
                          <w:szCs w:val="24"/>
                        </w:rPr>
                      </w:pPr>
                      <w:sdt>
                        <w:sdtPr>
                          <w:alias w:val="Déclaration_dénomination"/>
                          <w:tag w:val="Déclaration_dénomination"/>
                          <w:id w:val="1454910546"/>
                          <w:text/>
                        </w:sdtPr>
                        <w:sdtContent>
                          <w:r>
                            <w:rPr/>
                          </w:r>
                          <w:r>
                            <w:rPr/>
                            <w:t>Christophe Lecart</w:t>
                          </w:r>
                        </w:sdtContent>
                      </w:sdt>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5"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6"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user"/>
                              <w:spacing w:before="0" w:after="200"/>
                              <w:rPr>
                                <w:color w:themeColor="text1" w:themeTint="bf" w:val="404040"/>
                                <w:sz w:val="24"/>
                                <w:szCs w:val="24"/>
                              </w:rPr>
                            </w:pPr>
                            <w:sdt>
                              <w:sdtPr>
                                <w:alias w:val="Déclaration_Le :"/>
                                <w:tag w:val="Déclaration_Le :"/>
                                <w:id w:val="-1372685351"/>
                                <w:date w:fullDate="2026-05-22T00:00:00Z">
                                  <w:dateFormat w:val="YYYY-MM-DD"/>
                                  <w:lid w:val="fr-FR"/>
                                </w:date>
                              </w:sdtPr>
                              <w:sdtContent>
                                <w:r>
                                  <w:rPr>
                                    <w:rStyle w:val="PlaceholderText"/>
                                    <w:i/>
                                    <w:color w:themeColor="text1" w:themeTint="bf" w:val="404040"/>
                                    <w:sz w:val="24"/>
                                    <w:szCs w:val="24"/>
                                  </w:rPr>
                                </w:r>
                                <w:r>
                                  <w:rPr>
                                    <w:rStyle w:val="PlaceholderText"/>
                                    <w:i/>
                                    <w:color w:themeColor="text1" w:themeTint="bf" w:val="404040"/>
                                    <w:sz w:val="24"/>
                                    <w:szCs w:val="24"/>
                                  </w:rPr>
                                  <w:t>22/05/2026</w:t>
                                </w:r>
                                <w:r>
                                  <w:rPr>
                                    <w:rStyle w:val="PlaceholderText"/>
                                    <w:i/>
                                    <w:color w:themeColor="text1" w:themeTint="bf" w:val="404040"/>
                                    <w:sz w:val="24"/>
                                    <w:szCs w:val="24"/>
                                  </w:rPr>
                                </w:r>
                              </w:sdtContent>
                            </w:sdt>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round" endcap="flat"/>
                <v:textbox>
                  <w:txbxContent>
                    <w:p>
                      <w:pPr>
                        <w:pStyle w:val="FrameContentsuser"/>
                        <w:spacing w:before="0" w:after="200"/>
                        <w:rPr>
                          <w:color w:themeColor="text1" w:themeTint="bf" w:val="404040"/>
                          <w:sz w:val="24"/>
                          <w:szCs w:val="24"/>
                        </w:rPr>
                      </w:pPr>
                      <w:sdt>
                        <w:sdtPr>
                          <w:alias w:val="Déclaration_Le :"/>
                          <w:tag w:val="Déclaration_Le :"/>
                          <w:id w:val="-1372685351"/>
                          <w:date w:fullDate="2026-05-22T00:00:00Z">
                            <w:dateFormat w:val="YYYY-MM-DD"/>
                            <w:lid w:val="fr-FR"/>
                          </w:date>
                        </w:sdtPr>
                        <w:sdtContent>
                          <w:r>
                            <w:rPr>
                              <w:rStyle w:val="PlaceholderText"/>
                              <w:i/>
                              <w:color w:themeColor="text1" w:themeTint="bf" w:val="404040"/>
                              <w:sz w:val="24"/>
                              <w:szCs w:val="24"/>
                            </w:rPr>
                          </w:r>
                          <w:r>
                            <w:rPr>
                              <w:rStyle w:val="PlaceholderText"/>
                              <w:i/>
                              <w:color w:themeColor="text1" w:themeTint="bf" w:val="404040"/>
                              <w:sz w:val="24"/>
                              <w:szCs w:val="24"/>
                            </w:rPr>
                            <w:t>22/05/2026</w:t>
                          </w:r>
                          <w:r>
                            <w:rPr>
                              <w:rStyle w:val="PlaceholderText"/>
                              <w:i/>
                              <w:color w:themeColor="text1" w:themeTint="bf" w:val="404040"/>
                              <w:sz w:val="24"/>
                              <w:szCs w:val="24"/>
                            </w:rPr>
                          </w:r>
                        </w:sdtContent>
                      </w:sdt>
                    </w:p>
                  </w:txbxContent>
                </v:textbox>
                <w10:wrap type="none"/>
              </v:rect>
            </w:pict>
          </mc:Fallback>
        </mc:AlternateContent>
        <mc:AlternateContent>
          <mc:Choice Requires="wps">
            <w:drawing>
              <wp:anchor distT="0" distB="0" distL="0" distR="0" simplePos="0" relativeHeight="117"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7"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user"/>
                              <w:spacing w:before="0" w:after="200"/>
                              <w:rPr>
                                <w:i/>
                                <w:color w:themeColor="text1" w:themeTint="bf" w:val="404040"/>
                                <w:sz w:val="24"/>
                                <w:szCs w:val="24"/>
                              </w:rPr>
                            </w:pPr>
                            <w:sdt>
                              <w:sdtPr>
                                <w:alias w:val="Déclaration_fait à :"/>
                                <w:tag w:val="Déclaration_fait à :"/>
                                <w:id w:val="457456469"/>
                                <w:text/>
                              </w:sdtPr>
                              <w:sdtContent>
                                <w:r>
                                  <w:rPr/>
                                </w:r>
                                <w:r>
                                  <w:rPr/>
                                  <w:t>Notre-Dame d'Aliermont</w:t>
                                </w:r>
                              </w:sdtContent>
                            </w:sdt>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round" endcap="flat"/>
                <v:textbox>
                  <w:txbxContent>
                    <w:p>
                      <w:pPr>
                        <w:pStyle w:val="FrameContentsuser"/>
                        <w:spacing w:before="0" w:after="200"/>
                        <w:rPr>
                          <w:i/>
                          <w:color w:themeColor="text1" w:themeTint="bf" w:val="404040"/>
                          <w:sz w:val="24"/>
                          <w:szCs w:val="24"/>
                        </w:rPr>
                      </w:pPr>
                      <w:sdt>
                        <w:sdtPr>
                          <w:alias w:val="Déclaration_fait à :"/>
                          <w:tag w:val="Déclaration_fait à :"/>
                          <w:id w:val="457456469"/>
                          <w:text/>
                        </w:sdtPr>
                        <w:sdtContent>
                          <w:r>
                            <w:rPr/>
                          </w:r>
                          <w:r>
                            <w:rPr/>
                            <w:t>Notre-Dame d'Aliermont</w:t>
                          </w:r>
                        </w:sdtContent>
                      </w:sdt>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r>
        <w:drawing>
          <wp:anchor distT="0" distB="0" distL="0" distR="0" simplePos="0" relativeHeight="121" behindDoc="0" locked="0" layoutInCell="0" allowOverlap="1">
            <wp:simplePos x="0" y="0"/>
            <wp:positionH relativeFrom="column">
              <wp:posOffset>8890</wp:posOffset>
            </wp:positionH>
            <wp:positionV relativeFrom="paragraph">
              <wp:posOffset>273050</wp:posOffset>
            </wp:positionV>
            <wp:extent cx="1611630" cy="789305"/>
            <wp:effectExtent l="0" t="0" r="0" b="0"/>
            <wp:wrapSquare wrapText="largest"/>
            <wp:docPr id="1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pic:cNvPicPr>
                      <a:picLocks noChangeAspect="1" noChangeArrowheads="1"/>
                    </pic:cNvPicPr>
                  </pic:nvPicPr>
                  <pic:blipFill>
                    <a:blip r:embed="rId21"/>
                    <a:stretch>
                      <a:fillRect/>
                    </a:stretch>
                  </pic:blipFill>
                  <pic:spPr bwMode="auto">
                    <a:xfrm>
                      <a:off x="0" y="0"/>
                      <a:ext cx="1611630" cy="789305"/>
                    </a:xfrm>
                    <a:prstGeom prst="rect">
                      <a:avLst/>
                    </a:prstGeom>
                    <a:noFill/>
                  </pic:spPr>
                </pic:pic>
              </a:graphicData>
            </a:graphic>
          </wp:anchor>
        </w:drawing>
      </w:r>
      <w:r>
        <w:rPr>
          <w:rFonts w:cs="Calibri" w:cstheme="minorHAnsi"/>
          <w:color w:themeColor="text1" w:themeTint="bf" w:val="404040"/>
          <w:sz w:val="24"/>
          <w:szCs w:val="24"/>
        </w:rPr>
        <w:br/>
        <w:b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tc>
      </w:tr>
      <w:tr>
        <w:trPr/>
        <w:tc>
          <w:tcPr>
            <w:tcW w:w="9782"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oc illustrant la pratique"/>
                <w:tag w:val="Doc illustrant la pratique"/>
                <w:id w:val="-731234241"/>
                <w:showingPlcHdr/>
                <w:text/>
              </w:sdtPr>
              <w:sdtContent>
                <w:r>
                  <w:rPr>
                    <w:rStyle w:val="PlaceholderText"/>
                    <w:rFonts w:eastAsia="Calibri" w:cs=""/>
                    <w:kern w:val="0"/>
                    <w:sz w:val="22"/>
                    <w:szCs w:val="22"/>
                    <w:lang w:val="fr-FR" w:eastAsia="en-US" w:bidi="ar-SA"/>
                  </w:rPr>
                  <w:t xml:space="preserve">Dépôt GitHub public : https://github.com/arocchet/social-network
Vérification commits : git log --author="Lecart|CLecart|clecart" --pretty=format:"%h|%ad|%s" --date=short
── AT1 — Authentification, Validation &amp; Réactions ──
Code    | Signature/vérification JWT (jose)         | src/lib/jwt/signJwt.ts · verifyJwt.ts
Code    | Hachage bcrypt cost factor 12             | src/lib/security/hash.ts
Code    | Middleware Next.js — protection routes    | src/middleware.ts
Code    | Route login — JWT + cookie HTTP-only      | src/app/api/public/auth/login/route.ts
Code    | Bibliothèque 36 schémas Zod               | src/lib/schemas/
Code    | Helpers réponse API standardisés          | src/lib/server/api/response.ts
Code    | Modèle Prisma Reaction avec @@unique      | prisma/schema.prisma (model Reaction)
Code    | Endpoints API réactions (CRUD + upsert)   | src/app/api/private/reaction/route.ts
Commit  | feat: Universal likes system (08/07/2025) | hash 158d8ee
Commit  | feat: real-time reaction counts SSE       | hash 0ca9588
Commit  | fix(api): post auth via cookie JWT        | hash f582882
GitHub  | PR #118 — stabilisation Docker/Neon/Redis | github.com/arocchet/social-network/pull/118
Doc     | Analyse sécurité OWASP                    | 04-developpement/securite-rgpd.md
── AT2 — Architecture, Messagerie &amp; Design system ──
Code    | Schéma Prisma complet — 18 modèles        | prisma/schema.prisma
Code    | Migrations versionnées                    | prisma/migrations/
Diagram | MCD / MLD / MPD + diagrammes UML          | 03-conception/diagrammes-uml.md
Code    | Endpoint SSE /chat/listen                 | src/app/api/private/chat/listen/route.ts
Code    | Client Redis Upstash serverless           | src/lib/server/websocket/redis.ts
Code    | Hook React useRealTimeChat                | src/hooks/use-real-time-chat.ts
Code    | Variables CSS design system (dark mode)   | src/app/globals.css
Code    | ThemeProvider (next-themes)               | src/components/providers/ThemeProvider.tsx
Code    | CreatePostDialog — médias multiples       | src/components/post/CreatePostDialog.tsx
Commit  | theme provider + palette (26/05/2025)     | hash 14f9b4a + 5399254
Commit  | feat: CreatePost dialog responsive        | hash ce0c26a
Commit  | docs: aligner UML sur prisma schema       | hash 06fe9e5
GitHub  | Issue #37 — Chat system (SSE + Redis)     | github.com/arocchet/social-network/issues/37
── AT3 — Docker, CI/CD, Déploiement &amp; Monitoring ──
Code   | Dockerfile multi-stage (builder + runner)  | Dockerfile
Code   | docker-compose.yml — profils dev/prod      | docker-compose.yml
Code   | Pipeline GitHub Actions                    | .github/workflows/ci.yml
Code   | Configuration Prisma Neon (2 URLs)         | prisma/schema.prisma (datasource db)
Code   | Variables d'environnement documentées      | .env.exemple
Code   | Migrations Prisma versionnées              | prisma/migrations/
GitHub | Issue #40 — DevOps / Docker / CI           | github.com/arocchet/social-network/issues/40
GitHub | Issue #45 — CI lint/test/build/push        | github.com/arocchet/social-network/issues/45
GitHub | PR #118 — stabilisation déploiement        | github.com/arocchet/social-network/pull/118
Commit | fix: resolve dependency conflicts          | hash c3748ea
Doc    | Documentation déploiement + runbook        | 05-deploiement/README.md</w:t>
                </w:r>
              </w:sdtContent>
            </w:sdt>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sectPr>
          <w:headerReference w:type="even" r:id="rId22"/>
          <w:headerReference w:type="default" r:id="rId23"/>
          <w:headerReference w:type="first" r:id="rId24"/>
          <w:footerReference w:type="even" r:id="rId25"/>
          <w:footerReference w:type="default" r:id="rId26"/>
          <w:footerReference w:type="first" r:id="rId27"/>
          <w:type w:val="nextPage"/>
          <w:pgSz w:w="11906" w:h="16838"/>
          <w:pgMar w:left="1417" w:right="1417" w:gutter="0" w:header="737" w:top="1417" w:footer="510" w:bottom="1417"/>
          <w:pgNumType w:fmt="decimal"/>
          <w:formProt w:val="false"/>
          <w:textDirection w:val="lrTb"/>
          <w:docGrid w:type="default" w:linePitch="360" w:charSpace="0"/>
        </w:sect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rPr>
            </w:pPr>
            <w:r>
              <w:rPr>
                <w:rFonts w:cs="Calibri" w:cstheme="minorHAnsi"/>
                <w:color w:themeColor="text1" w:themeTint="bf" w:val="404040"/>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113" behindDoc="0" locked="0" layoutInCell="0" allowOverlap="1" wp14:anchorId="7C090976">
                <wp:simplePos x="0" y="0"/>
                <wp:positionH relativeFrom="margin">
                  <wp:posOffset>5349240</wp:posOffset>
                </wp:positionH>
                <wp:positionV relativeFrom="page">
                  <wp:posOffset>9924415</wp:posOffset>
                </wp:positionV>
                <wp:extent cx="473710" cy="376555"/>
                <wp:effectExtent l="0" t="0" r="0" b="0"/>
                <wp:wrapNone/>
                <wp:docPr id="23"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wps:txbx>
                      <wps:bodyPr anchor="ctr" vert="vert" upright="1">
                        <a:noAutofit/>
                      </wps:bodyPr>
                    </wps:wsp>
                  </a:graphicData>
                </a:graphic>
              </wp:anchor>
            </w:drawing>
          </mc:Choice>
          <mc:Fallback>
            <w:pict>
              <v:shape id="shape_0" stroked="f" o:allowincell="f" style="position:absolute;margin-left:421.2pt;margin-top:781.4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v:textbox>
                <w10:wrap type="none"/>
              </v:shape>
            </w:pict>
          </mc:Fallback>
        </mc:AlternateContent>
      </w:r>
    </w:p>
    <w:sectPr>
      <w:headerReference w:type="even" r:id="rId28"/>
      <w:headerReference w:type="default" r:id="rId29"/>
      <w:headerReference w:type="first" r:id="rId30"/>
      <w:footerReference w:type="even" r:id="rId31"/>
      <w:footerReference w:type="default" r:id="rId32"/>
      <w:footerReference w:type="first" r:id="rId33"/>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Wingdings 3">
    <w:charset w:val="01" w:characterSet="utf-8"/>
    <w:family w:val="roman"/>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101"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101"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11125" distR="114300" simplePos="0" relativeHeight="107"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7"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9"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8"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11125" distR="114300" simplePos="0" relativeHeight="107"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9"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9"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10"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11125" distR="114300" simplePos="0" relativeHeight="103"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11"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5"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12"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11125" distR="114300" simplePos="0" relativeHeight="103"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13"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5"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14"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2"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19"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98"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20"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2"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21"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98"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22"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4"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24"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6"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25"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4"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26"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6"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27"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9"/>
      <w:gridCol w:w="2953"/>
      <w:gridCol w:w="2383"/>
      <w:gridCol w:w="2393"/>
    </w:tblGrid>
    <w:tr>
      <w:trPr>
        <w:trHeight w:val="283" w:hRule="atLeast"/>
      </w:trPr>
      <w:tc>
        <w:tcPr>
          <w:tcW w:w="2019"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8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29"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29"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8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3"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9"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8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9"/>
      <w:gridCol w:w="2953"/>
      <w:gridCol w:w="2383"/>
      <w:gridCol w:w="2393"/>
    </w:tblGrid>
    <w:tr>
      <w:trPr>
        <w:trHeight w:val="283" w:hRule="atLeast"/>
      </w:trPr>
      <w:tc>
        <w:tcPr>
          <w:tcW w:w="2019"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8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29"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29"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8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3"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9"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8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2.png"/><Relationship Id="rId22" Type="http://schemas.openxmlformats.org/officeDocument/2006/relationships/header" Target="header10.xml"/><Relationship Id="rId23" Type="http://schemas.openxmlformats.org/officeDocument/2006/relationships/header" Target="header11.xml"/><Relationship Id="rId24" Type="http://schemas.openxmlformats.org/officeDocument/2006/relationships/header" Target="header12.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header" Target="header13.xml"/><Relationship Id="rId29" Type="http://schemas.openxmlformats.org/officeDocument/2006/relationships/header" Target="header14.xml"/><Relationship Id="rId30" Type="http://schemas.openxmlformats.org/officeDocument/2006/relationships/header" Target="header15.xml"/><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footer" Target="footer15.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glossaryDocument" Target="glossary/document.xml"/><Relationship Id="rId39"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Application>LibreOffice/26.2.3.2$Linux_X86_64 LibreOffice_project/d4d5ed47b6084125f28d269a5650105d54dde034</Application>
  <AppVersion>15.0000</AppVersion>
  <Pages>27</Pages>
  <Words>5222</Words>
  <Characters>32739</Characters>
  <CharactersWithSpaces>37855</CharactersWithSpaces>
  <Paragraphs>361</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2026-05-22T16:22:12Z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