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080" w:after="0"/>
      </w:pPr>
    </w:p>
    <w:p>
      <w:pPr>
        <w:spacing w:after="200"/>
        <w:jc w:val="center"/>
      </w:pPr>
      <w:r>
        <w:rPr>
          <w:rFonts w:ascii="Calibri" w:hAnsi="Calibri" w:eastAsia="微软雅黑"/>
          <w:b/>
          <w:color w:val="203748"/>
          <w:sz w:val="56"/>
        </w:rPr>
        <w:t>风云一号C约10 cm碎片</w:t>
      </w:r>
      <w:r>
        <w:rPr>
          <w:rFonts w:ascii="Calibri" w:hAnsi="Calibri" w:eastAsia="微软雅黑"/>
          <w:b/>
          <w:color w:val="203748"/>
          <w:sz w:val="56"/>
        </w:rPr>
        <w:br w:type="textWrapping"/>
      </w:r>
      <w:r>
        <w:rPr>
          <w:rFonts w:ascii="Calibri" w:hAnsi="Calibri" w:eastAsia="微软雅黑"/>
          <w:b/>
          <w:color w:val="203748"/>
          <w:sz w:val="56"/>
        </w:rPr>
        <w:t>典型多目标清理任务说明</w:t>
      </w:r>
    </w:p>
    <w:p>
      <w:pPr>
        <w:spacing w:after="80"/>
        <w:jc w:val="center"/>
      </w:pPr>
      <w:r>
        <w:rPr>
          <w:rFonts w:ascii="Calibri" w:hAnsi="Calibri" w:eastAsia="微软雅黑"/>
          <w:color w:val="5B6573"/>
          <w:sz w:val="20"/>
        </w:rPr>
        <w:t>数据基准：CelesTrak GP/OMM 与 SATCAT 快照（2026-09-02）</w:t>
      </w:r>
    </w:p>
    <w:p>
      <w:pPr>
        <w:spacing w:after="80"/>
        <w:jc w:val="center"/>
      </w:pPr>
      <w:r>
        <w:rPr>
          <w:rFonts w:ascii="Calibri" w:hAnsi="Calibri" w:eastAsia="微软雅黑"/>
          <w:color w:val="5B6573"/>
          <w:sz w:val="20"/>
        </w:rPr>
        <w:t>共同历元：2026-09-01 23:06:52 UTC</w:t>
      </w:r>
    </w:p>
    <w:p>
      <w:pPr>
        <w:spacing w:after="80"/>
        <w:jc w:val="center"/>
      </w:pPr>
      <w:r>
        <w:rPr>
          <w:rFonts w:ascii="Calibri" w:hAnsi="Calibri" w:eastAsia="微软雅黑"/>
          <w:color w:val="5B6573"/>
          <w:sz w:val="20"/>
        </w:rPr>
        <w:t>编制日期：2026年9月3日</w:t>
      </w:r>
    </w:p>
    <w:p>
      <w:pPr>
        <w:spacing w:before="680" w:after="0"/>
        <w:jc w:val="center"/>
      </w:pPr>
      <w:r>
        <w:rPr>
          <w:rFonts w:ascii="Calibri" w:hAnsi="Calibri" w:eastAsia="微软雅黑"/>
          <w:i/>
          <w:color w:val="5B6573"/>
          <w:sz w:val="19"/>
        </w:rPr>
        <w:t>说明：本文结果用于方案论证，不替代任务级精密定轨、相对导航、接触动力学和再入安全分析。</w:t>
      </w:r>
    </w:p>
    <w:p>
      <w:r>
        <w:br w:type="page"/>
      </w:r>
    </w:p>
    <w:p>
      <w:pPr>
        <w:pStyle w:val="3"/>
        <w:keepNext/>
      </w:pPr>
      <w:r>
        <w:t>结论摘要</w:t>
      </w:r>
    </w:p>
    <w:tbl>
      <w:tblPr>
        <w:tblStyle w:val="32"/>
        <w:tblW w:w="9360" w:type="dxa"/>
        <w:tblInd w:w="120" w:type="dxa"/>
        <w:tblBorders>
          <w:top w:val="single" w:color="D6E2D0" w:sz="6" w:space="0"/>
          <w:left w:val="single" w:color="D6E2D0" w:sz="6" w:space="0"/>
          <w:bottom w:val="single" w:color="D6E2D0" w:sz="6" w:space="0"/>
          <w:right w:val="single" w:color="D6E2D0" w:sz="6" w:space="0"/>
          <w:insideH w:val="single" w:color="D6E2D0" w:sz="6" w:space="0"/>
          <w:insideV w:val="single" w:color="D6E2D0" w:sz="6"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D6E2D0" w:sz="6" w:space="0"/>
            <w:left w:val="single" w:color="D6E2D0" w:sz="6" w:space="0"/>
            <w:bottom w:val="single" w:color="D6E2D0" w:sz="6" w:space="0"/>
            <w:right w:val="single" w:color="D6E2D0" w:sz="6" w:space="0"/>
            <w:insideH w:val="single" w:color="D6E2D0" w:sz="6" w:space="0"/>
            <w:insideV w:val="single" w:color="D6E2D0" w:sz="6" w:space="0"/>
          </w:tblBorders>
          <w:tblCellMar>
            <w:top w:w="0" w:type="dxa"/>
            <w:left w:w="108" w:type="dxa"/>
            <w:bottom w:w="0" w:type="dxa"/>
            <w:right w:w="108" w:type="dxa"/>
          </w:tblCellMar>
        </w:tblPrEx>
        <w:trPr>
          <w:cantSplit/>
        </w:trPr>
        <w:tc>
          <w:tcPr>
            <w:tcW w:w="2340" w:type="dxa"/>
            <w:shd w:val="clear" w:color="auto" w:fill="E7F1E3"/>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28"/>
              </w:rPr>
              <w:t>5个</w:t>
            </w:r>
          </w:p>
        </w:tc>
        <w:tc>
          <w:tcPr>
            <w:tcW w:w="2340" w:type="dxa"/>
            <w:shd w:val="clear" w:color="auto" w:fill="E7F1E3"/>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28"/>
              </w:rPr>
              <w:t>121.75天</w:t>
            </w:r>
          </w:p>
        </w:tc>
        <w:tc>
          <w:tcPr>
            <w:tcW w:w="2340" w:type="dxa"/>
            <w:shd w:val="clear" w:color="auto" w:fill="E7F1E3"/>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28"/>
              </w:rPr>
              <w:t>539.88 m/s</w:t>
            </w:r>
          </w:p>
        </w:tc>
        <w:tc>
          <w:tcPr>
            <w:tcW w:w="2340" w:type="dxa"/>
            <w:shd w:val="clear" w:color="auto" w:fill="E7F1E3"/>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28"/>
              </w:rPr>
              <w:t>11.13个/年</w:t>
            </w:r>
          </w:p>
        </w:tc>
      </w:tr>
      <w:tr>
        <w:tblPrEx>
          <w:tblBorders>
            <w:top w:val="single" w:color="D6E2D0" w:sz="6" w:space="0"/>
            <w:left w:val="single" w:color="D6E2D0" w:sz="6" w:space="0"/>
            <w:bottom w:val="single" w:color="D6E2D0" w:sz="6" w:space="0"/>
            <w:right w:val="single" w:color="D6E2D0" w:sz="6" w:space="0"/>
            <w:insideH w:val="single" w:color="D6E2D0" w:sz="6" w:space="0"/>
            <w:insideV w:val="single" w:color="D6E2D0" w:sz="6" w:space="0"/>
          </w:tblBorders>
          <w:tblCellMar>
            <w:top w:w="0" w:type="dxa"/>
            <w:left w:w="108" w:type="dxa"/>
            <w:bottom w:w="0" w:type="dxa"/>
            <w:right w:w="108" w:type="dxa"/>
          </w:tblCellMar>
        </w:tblPrEx>
        <w:trPr>
          <w:cantSplit/>
        </w:trPr>
        <w:tc>
          <w:tcPr>
            <w:tcW w:w="234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5B6573"/>
                <w:sz w:val="17"/>
              </w:rPr>
              <w:t>目标数量</w:t>
            </w:r>
          </w:p>
        </w:tc>
        <w:tc>
          <w:tcPr>
            <w:tcW w:w="234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5B6573"/>
                <w:sz w:val="17"/>
              </w:rPr>
              <w:t>基准任务周期</w:t>
            </w:r>
          </w:p>
        </w:tc>
        <w:tc>
          <w:tcPr>
            <w:tcW w:w="234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5B6573"/>
                <w:sz w:val="17"/>
              </w:rPr>
              <w:t>含20%余量设计Δv</w:t>
            </w:r>
          </w:p>
        </w:tc>
        <w:tc>
          <w:tcPr>
            <w:tcW w:w="234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5B6573"/>
                <w:sz w:val="17"/>
              </w:rPr>
              <w:t>继续型有效清理率</w:t>
            </w:r>
          </w:p>
        </w:tc>
      </w:tr>
    </w:tbl>
    <w:p/>
    <w:tbl>
      <w:tblPr>
        <w:tblStyle w:val="32"/>
        <w:tblW w:w="9360" w:type="dxa"/>
        <w:tblInd w:w="120" w:type="dxa"/>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Layout w:type="fixed"/>
        <w:tblCellMar>
          <w:top w:w="0" w:type="dxa"/>
          <w:left w:w="108" w:type="dxa"/>
          <w:bottom w:w="0" w:type="dxa"/>
          <w:right w:w="108" w:type="dxa"/>
        </w:tblCellMar>
      </w:tblPr>
      <w:tblGrid>
        <w:gridCol w:w="9360"/>
      </w:tblGrid>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9360" w:type="dxa"/>
            <w:shd w:val="clear" w:color="auto" w:fill="F4F6F9"/>
            <w:tcMar>
              <w:top w:w="80" w:type="dxa"/>
              <w:left w:w="120" w:type="dxa"/>
              <w:bottom w:w="80" w:type="dxa"/>
              <w:right w:w="120" w:type="dxa"/>
            </w:tcMar>
            <w:vAlign w:val="center"/>
          </w:tcPr>
          <w:p>
            <w:pPr>
              <w:spacing w:before="0" w:after="0" w:line="288" w:lineRule="auto"/>
            </w:pPr>
            <w:r>
              <w:rPr>
                <w:rFonts w:ascii="Calibri" w:hAnsi="Calibri" w:eastAsia="微软雅黑"/>
                <w:b/>
                <w:color w:val="0B2545"/>
              </w:rPr>
              <w:t>研究场景：</w:t>
            </w:r>
            <w:r>
              <w:rPr>
                <w:rFonts w:ascii="Calibri" w:hAnsi="Calibri" w:eastAsia="微软雅黑"/>
              </w:rPr>
              <w:t>单艘服务航天器依次接近、抓取并收纳5个约10 cm的风云一号C碎片，最后携带组合体整体离轨。</w:t>
            </w:r>
          </w:p>
        </w:tc>
      </w:tr>
    </w:tbl>
    <w:p>
      <w:r>
        <w:rPr>
          <w:rFonts w:ascii="Calibri" w:hAnsi="Calibri" w:eastAsia="微软雅黑"/>
          <w:b/>
          <w:color w:val="0B2545"/>
        </w:rPr>
        <w:t>核心路线：</w:t>
      </w:r>
      <w:r>
        <w:rPr>
          <w:rFonts w:ascii="Calibri" w:hAnsi="Calibri" w:eastAsia="微软雅黑"/>
        </w:rPr>
        <w:t>36668 → 30741 → 35089 → 35175 → 31150。该顺序是5个已选目标的120种排列中按目标间Δv最小得到的定时路线。</w:t>
      </w:r>
    </w:p>
    <w:p>
      <w:r>
        <w:rPr>
          <w:rFonts w:ascii="Calibri" w:hAnsi="Calibri" w:eastAsia="微软雅黑"/>
          <w:b/>
          <w:color w:val="0B2545"/>
        </w:rPr>
        <w:t>数据口径：</w:t>
      </w:r>
      <w:r>
        <w:rPr>
          <w:rFonts w:ascii="Calibri" w:hAnsi="Calibri" w:eastAsia="微软雅黑"/>
        </w:rPr>
        <w:t>公开目录量、模型计算量和规划假设分别标注；90天首目标获取、每目标2天操作、每目标5 m/s近距离操作和7天末段处置均为规划假设，不是CelesTrak目录数据。</w:t>
      </w:r>
    </w:p>
    <w:p>
      <w:pPr>
        <w:pStyle w:val="3"/>
        <w:keepNext/>
      </w:pPr>
      <w:r>
        <w:t>1 清理背景</w:t>
      </w:r>
    </w:p>
    <w:p>
      <w:pPr>
        <w:pStyle w:val="4"/>
        <w:keepNext/>
      </w:pPr>
      <w:r>
        <w:t>1.1 风云一号C碎片的来源</w:t>
      </w:r>
    </w:p>
    <w:p>
      <w:r>
        <w:rPr>
          <w:rFonts w:ascii="Calibri" w:hAnsi="Calibri" w:eastAsia="微软雅黑"/>
        </w:rPr>
        <w:t>风云一号C（Fengyun-1C，国际编号1999-025A，NORAD 25730）是一颗气象卫星。2007年1月11日，该卫星在约860 km高度的反卫星试验中被高速拦截器撞击并彻底破碎，形成大量长期在轨碎片。[1][2]</w:t>
      </w:r>
    </w:p>
    <w:p>
      <w:r>
        <w:rPr>
          <w:rFonts w:ascii="Calibri" w:hAnsi="Calibri" w:eastAsia="微软雅黑"/>
        </w:rPr>
        <w:t>NASA资料记录，该事件累计编目碎片达到3532个；截至2025年1月3日仍有2557个在轨。事件发生轨道约为845×865 km、倾角约98.6°。由于高度较高、大气阻力弱，相当一部分碎片可持续存在数十年至更长时间。[2][3]</w:t>
      </w:r>
    </w:p>
    <w:tbl>
      <w:tblPr>
        <w:tblStyle w:val="32"/>
        <w:tblW w:w="9360" w:type="dxa"/>
        <w:tblInd w:w="120" w:type="dxa"/>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Layout w:type="fixed"/>
        <w:tblCellMar>
          <w:top w:w="0" w:type="dxa"/>
          <w:left w:w="108" w:type="dxa"/>
          <w:bottom w:w="0" w:type="dxa"/>
          <w:right w:w="108" w:type="dxa"/>
        </w:tblCellMar>
      </w:tblPr>
      <w:tblGrid>
        <w:gridCol w:w="1900"/>
        <w:gridCol w:w="4500"/>
        <w:gridCol w:w="2960"/>
      </w:tblGrid>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blHeader/>
        </w:trPr>
        <w:tc>
          <w:tcPr>
            <w:tcW w:w="19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项目</w:t>
            </w:r>
          </w:p>
        </w:tc>
        <w:tc>
          <w:tcPr>
            <w:tcW w:w="45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事实</w:t>
            </w:r>
          </w:p>
        </w:tc>
        <w:tc>
          <w:tcPr>
            <w:tcW w:w="296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来源</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母体</w:t>
            </w:r>
          </w:p>
        </w:tc>
        <w:tc>
          <w:tcPr>
            <w:tcW w:w="45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风云一号C气象卫星</w:t>
            </w:r>
          </w:p>
        </w:tc>
        <w:tc>
          <w:tcPr>
            <w:tcW w:w="29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NASA ODPO [1]</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破碎时间</w:t>
            </w:r>
          </w:p>
        </w:tc>
        <w:tc>
          <w:tcPr>
            <w:tcW w:w="45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2007-01-11 22:26 UTC（约）</w:t>
            </w:r>
          </w:p>
        </w:tc>
        <w:tc>
          <w:tcPr>
            <w:tcW w:w="29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NASA ODPO [1]</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破碎高度</w:t>
            </w:r>
          </w:p>
        </w:tc>
        <w:tc>
          <w:tcPr>
            <w:tcW w:w="45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约860 km</w:t>
            </w:r>
          </w:p>
        </w:tc>
        <w:tc>
          <w:tcPr>
            <w:tcW w:w="29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NASA/ESA [1][3]</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原轨道</w:t>
            </w:r>
          </w:p>
        </w:tc>
        <w:tc>
          <w:tcPr>
            <w:tcW w:w="45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约845×865 km，倾角约98.6°</w:t>
            </w:r>
          </w:p>
        </w:tc>
        <w:tc>
          <w:tcPr>
            <w:tcW w:w="29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NASA NTRS [2]</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累计编目碎片</w:t>
            </w:r>
          </w:p>
        </w:tc>
        <w:tc>
          <w:tcPr>
            <w:tcW w:w="45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3532个</w:t>
            </w:r>
          </w:p>
        </w:tc>
        <w:tc>
          <w:tcPr>
            <w:tcW w:w="29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2025-01-03统计 [2]</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当时仍在轨</w:t>
            </w:r>
          </w:p>
        </w:tc>
        <w:tc>
          <w:tcPr>
            <w:tcW w:w="45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2557个</w:t>
            </w:r>
          </w:p>
        </w:tc>
        <w:tc>
          <w:tcPr>
            <w:tcW w:w="29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2025-01-03统计 [2]</w:t>
            </w:r>
          </w:p>
        </w:tc>
      </w:tr>
    </w:tbl>
    <w:p>
      <w:pPr>
        <w:spacing w:after="0"/>
      </w:pPr>
    </w:p>
    <w:p>
      <w:pPr>
        <w:pStyle w:val="164"/>
      </w:pPr>
      <w:r>
        <w:t>数据来源：NASA Orbital Debris Program Office、NASA NTRS及ESA公开资料 [1]-[3]。</w:t>
      </w:r>
    </w:p>
    <w:p>
      <w:pPr>
        <w:pStyle w:val="4"/>
        <w:keepNext/>
      </w:pPr>
      <w:r>
        <w:t>1.2 为什么需要研究清理</w:t>
      </w:r>
    </w:p>
    <w:p>
      <w:r>
        <w:rPr>
          <w:rFonts w:ascii="Calibri" w:hAnsi="Calibri" w:eastAsia="微软雅黑"/>
        </w:rPr>
        <w:t>约800-900 km太阳同步轨道带聚集了大量气象与遥感航天器。风云一号C碎片云长期占据这一高度区间，并持续参与近距离交会。约10 cm碎片已足以对运行航天器造成严重破坏，却缺少主动避让和自我离轨能力。[3][4]</w:t>
      </w:r>
    </w:p>
    <w:p>
      <w:r>
        <w:rPr>
          <w:rFonts w:ascii="Calibri" w:hAnsi="Calibri" w:eastAsia="微软雅黑"/>
        </w:rPr>
        <w:t>需要区分两类治理目标：清除小型可跟踪碎片主要降低当前航天器遭受撞击的直接风险；移除大型完整废弃卫星和火箭级则更有利于避免未来再次产生碎片云。NASA和ESA均指出，控制长期环境增长时应优先考虑大型、高质量、高碰撞概率且长期驻留的完整物体。[7]</w:t>
      </w:r>
    </w:p>
    <w:p>
      <w:pPr>
        <w:pStyle w:val="3"/>
        <w:keepNext/>
      </w:pPr>
      <w:r>
        <w:t>2 选择风云一号C碎片的原因</w:t>
      </w:r>
    </w:p>
    <w:tbl>
      <w:tblPr>
        <w:tblStyle w:val="32"/>
        <w:tblW w:w="9360" w:type="dxa"/>
        <w:tblInd w:w="120" w:type="dxa"/>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Layout w:type="fixed"/>
        <w:tblCellMar>
          <w:top w:w="0" w:type="dxa"/>
          <w:left w:w="108" w:type="dxa"/>
          <w:bottom w:w="0" w:type="dxa"/>
          <w:right w:w="108" w:type="dxa"/>
        </w:tblCellMar>
      </w:tblPr>
      <w:tblGrid>
        <w:gridCol w:w="1800"/>
        <w:gridCol w:w="5100"/>
        <w:gridCol w:w="2460"/>
      </w:tblGrid>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blHeader/>
        </w:trPr>
        <w:tc>
          <w:tcPr>
            <w:tcW w:w="18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选择因素</w:t>
            </w:r>
          </w:p>
        </w:tc>
        <w:tc>
          <w:tcPr>
            <w:tcW w:w="51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说明</w:t>
            </w:r>
          </w:p>
        </w:tc>
        <w:tc>
          <w:tcPr>
            <w:tcW w:w="246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数据依据</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目标池充足</w:t>
            </w:r>
          </w:p>
        </w:tc>
        <w:tc>
          <w:tcPr>
            <w:tcW w:w="51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同一破碎事件形成大量已编目目标。本研究按尺寸、轨道高度、偏心率和根数时效筛选出145个候选。</w:t>
            </w:r>
          </w:p>
        </w:tc>
        <w:tc>
          <w:tcPr>
            <w:tcW w:w="24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模型筛选 [10]</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长期驻留</w:t>
            </w:r>
          </w:p>
        </w:tc>
        <w:tc>
          <w:tcPr>
            <w:tcW w:w="51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目标位于约780-880 km，空气阻力弱，自然衰减慢，具有持续风险。</w:t>
            </w:r>
          </w:p>
        </w:tc>
        <w:tc>
          <w:tcPr>
            <w:tcW w:w="24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NASA/ESA [2][3]</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尺寸具有代表性</w:t>
            </w:r>
          </w:p>
        </w:tc>
        <w:tc>
          <w:tcPr>
            <w:tcW w:w="51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RCS等效直径8-12 cm，位于公开监视系统可跟踪的小碎片量级。</w:t>
            </w:r>
          </w:p>
        </w:tc>
        <w:tc>
          <w:tcPr>
            <w:tcW w:w="24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SATCAT+计算 [6][10]</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轨道相对集中</w:t>
            </w:r>
          </w:p>
        </w:tc>
        <w:tc>
          <w:tcPr>
            <w:tcW w:w="51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5个目标倾角均约98.6°、轨道高度接近，适合研究单航天器连续访问。</w:t>
            </w:r>
          </w:p>
        </w:tc>
        <w:tc>
          <w:tcPr>
            <w:tcW w:w="24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GP/OMM+SGP4 [5][10]</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数据可追溯</w:t>
            </w:r>
          </w:p>
        </w:tc>
        <w:tc>
          <w:tcPr>
            <w:tcW w:w="51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NORAD编号、国际编号、OMM根数及RCS均可从CelesTrak公开获取。</w:t>
            </w:r>
          </w:p>
        </w:tc>
        <w:tc>
          <w:tcPr>
            <w:tcW w:w="24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CelesTrak [5][6]</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适合装置验证</w:t>
            </w:r>
          </w:p>
        </w:tc>
        <w:tc>
          <w:tcPr>
            <w:tcW w:w="51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小尺寸、非合作、可能翻滚，可用于评估识别、柔顺抓取、收纳与安全撤离能力。</w:t>
            </w:r>
          </w:p>
        </w:tc>
        <w:tc>
          <w:tcPr>
            <w:tcW w:w="24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研究场景定义</w:t>
            </w:r>
          </w:p>
        </w:tc>
      </w:tr>
    </w:tbl>
    <w:p>
      <w:pPr>
        <w:spacing w:after="0"/>
      </w:pPr>
    </w:p>
    <w:p>
      <w:pPr>
        <w:pStyle w:val="164"/>
      </w:pPr>
      <w:r>
        <w:t>说明：选择这5个目标用于约10 cm多目标抓取能力研究，并不表示其已被国际机构正式列为优先清除目标。</w:t>
      </w:r>
    </w:p>
    <w:p>
      <w:pPr>
        <w:keepNext/>
        <w:jc w:val="center"/>
      </w:pPr>
      <w:r>
        <w:drawing>
          <wp:inline distT="0" distB="0" distL="114300" distR="114300">
            <wp:extent cx="5623560" cy="3514725"/>
            <wp:effectExtent l="0" t="0" r="0" b="5715"/>
            <wp:docPr id="1" name="Picture 1" descr="五个风云一号C碎片目标在共同历元下的三维轨道示意图；五条彩色轨道围绕地球分布，轨道面差为便于辨识放大十倍。" title="五个目标共同历元三维轨道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五个风云一号C碎片目标在共同历元下的三维轨道示意图；五条彩色轨道围绕地球分布，轨道面差为便于辨识放大十倍。" title="五个目标共同历元三维轨道示意"/>
                    <pic:cNvPicPr>
                      <a:picLocks noChangeAspect="1"/>
                    </pic:cNvPicPr>
                  </pic:nvPicPr>
                  <pic:blipFill>
                    <a:blip r:embed="rId8"/>
                    <a:stretch>
                      <a:fillRect/>
                    </a:stretch>
                  </pic:blipFill>
                  <pic:spPr>
                    <a:xfrm>
                      <a:off x="0" y="0"/>
                      <a:ext cx="5623560" cy="3514725"/>
                    </a:xfrm>
                    <a:prstGeom prst="rect">
                      <a:avLst/>
                    </a:prstGeom>
                  </pic:spPr>
                </pic:pic>
              </a:graphicData>
            </a:graphic>
          </wp:inline>
        </w:drawing>
      </w:r>
    </w:p>
    <w:p>
      <w:pPr>
        <w:pStyle w:val="15"/>
        <w:keepNext w:val="0"/>
      </w:pPr>
      <w:r>
        <w:t>图1  五个目标共同历元三维轨道示意（轨道面差放大10倍，仅用于辨识）</w:t>
      </w:r>
    </w:p>
    <w:p>
      <w:pPr>
        <w:pStyle w:val="164"/>
      </w:pPr>
      <w:r>
        <w:t>数据来源：CelesTrak GP/OMM快照；SGP4传播至共同历元；图由本研究计算生成 [5][8][10]。</w:t>
      </w:r>
    </w:p>
    <w:p>
      <w:pPr>
        <w:pStyle w:val="3"/>
        <w:keepNext/>
      </w:pPr>
      <w:r>
        <w:t>3 清理过程</w:t>
      </w:r>
    </w:p>
    <w:tbl>
      <w:tblPr>
        <w:tblStyle w:val="32"/>
        <w:tblW w:w="9360" w:type="dxa"/>
        <w:tblInd w:w="120" w:type="dxa"/>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Layout w:type="fixed"/>
        <w:tblCellMar>
          <w:top w:w="0" w:type="dxa"/>
          <w:left w:w="108" w:type="dxa"/>
          <w:bottom w:w="0" w:type="dxa"/>
          <w:right w:w="108" w:type="dxa"/>
        </w:tblCellMar>
      </w:tblPr>
      <w:tblGrid>
        <w:gridCol w:w="600"/>
        <w:gridCol w:w="1500"/>
        <w:gridCol w:w="4260"/>
        <w:gridCol w:w="1600"/>
        <w:gridCol w:w="1400"/>
      </w:tblGrid>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blHeader/>
        </w:trPr>
        <w:tc>
          <w:tcPr>
            <w:tcW w:w="6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序号</w:t>
            </w:r>
          </w:p>
        </w:tc>
        <w:tc>
          <w:tcPr>
            <w:tcW w:w="15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阶段</w:t>
            </w:r>
          </w:p>
        </w:tc>
        <w:tc>
          <w:tcPr>
            <w:tcW w:w="426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主要工作</w:t>
            </w:r>
          </w:p>
        </w:tc>
        <w:tc>
          <w:tcPr>
            <w:tcW w:w="16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输出/指标</w:t>
            </w:r>
          </w:p>
        </w:tc>
        <w:tc>
          <w:tcPr>
            <w:tcW w:w="14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性质</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6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1</w:t>
            </w:r>
          </w:p>
        </w:tc>
        <w:tc>
          <w:tcPr>
            <w:tcW w:w="15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获取与冻结数据</w:t>
            </w:r>
          </w:p>
        </w:tc>
        <w:tc>
          <w:tcPr>
            <w:tcW w:w="42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从CelesTrak下载风云一号C碎片GP/OMM与SATCAT数据；记录接口、UTC时间和SHA-256。</w:t>
            </w:r>
          </w:p>
        </w:tc>
        <w:tc>
          <w:tcPr>
            <w:tcW w:w="16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原始JSON快照</w:t>
            </w:r>
          </w:p>
        </w:tc>
        <w:tc>
          <w:tcPr>
            <w:tcW w:w="14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公开目录</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6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2</w:t>
            </w:r>
          </w:p>
        </w:tc>
        <w:tc>
          <w:tcPr>
            <w:tcW w:w="15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筛选目标</w:t>
            </w:r>
          </w:p>
        </w:tc>
        <w:tc>
          <w:tcPr>
            <w:tcW w:w="42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筛选RCS等效直径8-12 cm、近地点≥700 km、远地点≤900 km、e≤0.02、根数时效≤3天的目标。</w:t>
            </w:r>
          </w:p>
        </w:tc>
        <w:tc>
          <w:tcPr>
            <w:tcW w:w="16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145个候选</w:t>
            </w:r>
          </w:p>
        </w:tc>
        <w:tc>
          <w:tcPr>
            <w:tcW w:w="14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模型规则</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6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3</w:t>
            </w:r>
          </w:p>
        </w:tc>
        <w:tc>
          <w:tcPr>
            <w:tcW w:w="15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轨道统一</w:t>
            </w:r>
          </w:p>
        </w:tc>
        <w:tc>
          <w:tcPr>
            <w:tcW w:w="42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使用SGP4把各目标不同历元的平均根数传播到2026-09-01 23:06:52 UTC，得到同一TEME时刻的位置速度。</w:t>
            </w:r>
          </w:p>
        </w:tc>
        <w:tc>
          <w:tcPr>
            <w:tcW w:w="16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共同历元状态</w:t>
            </w:r>
          </w:p>
        </w:tc>
        <w:tc>
          <w:tcPr>
            <w:tcW w:w="14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模型计算</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6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4</w:t>
            </w:r>
          </w:p>
        </w:tc>
        <w:tc>
          <w:tcPr>
            <w:tcW w:w="15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路线优化</w:t>
            </w:r>
          </w:p>
        </w:tc>
        <w:tc>
          <w:tcPr>
            <w:tcW w:w="42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对5个目标的120种访问排列进行定时仿真，以目标间Δv最小为主要判据。</w:t>
            </w:r>
          </w:p>
        </w:tc>
        <w:tc>
          <w:tcPr>
            <w:tcW w:w="16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5目标访问顺序</w:t>
            </w:r>
          </w:p>
        </w:tc>
        <w:tc>
          <w:tcPr>
            <w:tcW w:w="14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模型计算</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6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5</w:t>
            </w:r>
          </w:p>
        </w:tc>
        <w:tc>
          <w:tcPr>
            <w:tcW w:w="15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首目标获取</w:t>
            </w:r>
          </w:p>
        </w:tc>
        <w:tc>
          <w:tcPr>
            <w:tcW w:w="42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入轨、平台检查、远距离搜索、定轨和接近第1目标。</w:t>
            </w:r>
          </w:p>
        </w:tc>
        <w:tc>
          <w:tcPr>
            <w:tcW w:w="16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90天、30 m/s</w:t>
            </w:r>
          </w:p>
        </w:tc>
        <w:tc>
          <w:tcPr>
            <w:tcW w:w="14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规划假设</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6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6</w:t>
            </w:r>
          </w:p>
        </w:tc>
        <w:tc>
          <w:tcPr>
            <w:tcW w:w="15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近距离交会</w:t>
            </w:r>
          </w:p>
        </w:tc>
        <w:tc>
          <w:tcPr>
            <w:tcW w:w="42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建立安全等待点，逐步缩短距离；识别外形、翻滚轴和角速度；保留中止与撤离走廊。</w:t>
            </w:r>
          </w:p>
        </w:tc>
        <w:tc>
          <w:tcPr>
            <w:tcW w:w="16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目标状态估计</w:t>
            </w:r>
          </w:p>
        </w:tc>
        <w:tc>
          <w:tcPr>
            <w:tcW w:w="14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任务操作</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PrEx>
        <w:trPr>
          <w:cantSplit/>
        </w:trPr>
        <w:tc>
          <w:tcPr>
            <w:tcW w:w="6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7</w:t>
            </w:r>
          </w:p>
        </w:tc>
        <w:tc>
          <w:tcPr>
            <w:tcW w:w="15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抓取与收纳</w:t>
            </w:r>
          </w:p>
        </w:tc>
        <w:tc>
          <w:tcPr>
            <w:tcW w:w="42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同步局部运动，柔顺接触、锁紧、抑制残余运动，重新确定组合体质心并收纳。</w:t>
            </w:r>
          </w:p>
        </w:tc>
        <w:tc>
          <w:tcPr>
            <w:tcW w:w="16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每目标2天、5 m/s</w:t>
            </w:r>
          </w:p>
        </w:tc>
        <w:tc>
          <w:tcPr>
            <w:tcW w:w="14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规划假设</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PrEx>
        <w:trPr>
          <w:cantSplit/>
        </w:trPr>
        <w:tc>
          <w:tcPr>
            <w:tcW w:w="6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8</w:t>
            </w:r>
          </w:p>
        </w:tc>
        <w:tc>
          <w:tcPr>
            <w:tcW w:w="15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目标间转移</w:t>
            </w:r>
          </w:p>
        </w:tc>
        <w:tc>
          <w:tcPr>
            <w:tcW w:w="42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等待互轨道面交点，执行等效圆轨道霍曼/轨道面合并机动，再通过高轨或低轨相位闭合沿轨差。</w:t>
            </w:r>
          </w:p>
        </w:tc>
        <w:tc>
          <w:tcPr>
            <w:tcW w:w="16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4段、192.74 m/s</w:t>
            </w:r>
          </w:p>
        </w:tc>
        <w:tc>
          <w:tcPr>
            <w:tcW w:w="14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模型计算</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6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9</w:t>
            </w:r>
          </w:p>
        </w:tc>
        <w:tc>
          <w:tcPr>
            <w:tcW w:w="15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末目标离轨</w:t>
            </w:r>
          </w:p>
        </w:tc>
        <w:tc>
          <w:tcPr>
            <w:tcW w:w="42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抓取第5目标后，在组合体远地点实施逆行脉冲，将新近地点降至100 km。</w:t>
            </w:r>
          </w:p>
        </w:tc>
        <w:tc>
          <w:tcPr>
            <w:tcW w:w="16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202.16 m/s</w:t>
            </w:r>
          </w:p>
        </w:tc>
        <w:tc>
          <w:tcPr>
            <w:tcW w:w="14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二体模型</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6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10</w:t>
            </w:r>
          </w:p>
        </w:tc>
        <w:tc>
          <w:tcPr>
            <w:tcW w:w="15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再入与任务闭环</w:t>
            </w:r>
          </w:p>
        </w:tc>
        <w:tc>
          <w:tcPr>
            <w:tcW w:w="42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跟踪离轨轨迹、确认进入大气层；评估碎片落区和地面人员风险；归档轨道与处置证据。</w:t>
            </w:r>
          </w:p>
        </w:tc>
        <w:tc>
          <w:tcPr>
            <w:tcW w:w="16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7"/>
              </w:rPr>
              <w:t>7天操作窗口</w:t>
            </w:r>
          </w:p>
        </w:tc>
        <w:tc>
          <w:tcPr>
            <w:tcW w:w="14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规划假设</w:t>
            </w:r>
          </w:p>
        </w:tc>
      </w:tr>
    </w:tbl>
    <w:p>
      <w:pPr>
        <w:spacing w:after="0"/>
      </w:pPr>
    </w:p>
    <w:p>
      <w:pPr>
        <w:pStyle w:val="164"/>
      </w:pPr>
      <w:r>
        <w:t>数据来源：CelesTrak公开数据 [5][6]；路线与时序来自本地计算结果 [10]；交会、抓取和处置流程结合IADC与联合国减缓原则整理 [11][12]。</w:t>
      </w:r>
    </w:p>
    <w:p>
      <w:pPr>
        <w:pStyle w:val="4"/>
        <w:keepNext/>
      </w:pPr>
      <w:r>
        <w:t>3.1 单目标交会与抓取的关键控制</w:t>
      </w:r>
    </w:p>
    <w:p>
      <w:r>
        <w:rPr>
          <w:rFonts w:ascii="Calibri" w:hAnsi="Calibri" w:eastAsia="微软雅黑"/>
          <w:b/>
          <w:color w:val="0B2545"/>
        </w:rPr>
        <w:t>远距离段：</w:t>
      </w:r>
      <w:r>
        <w:rPr>
          <w:rFonts w:ascii="Calibri" w:hAnsi="Calibri" w:eastAsia="微软雅黑"/>
        </w:rPr>
        <w:t>依靠地面更新与星载传感器重新捕获目标，从数十千米逐步进入共轨区域。公开GP数据只用于初始规划，不能直接作为末端抓取导航数据。</w:t>
      </w:r>
    </w:p>
    <w:p>
      <w:r>
        <w:rPr>
          <w:rFonts w:ascii="Calibri" w:hAnsi="Calibri" w:eastAsia="微软雅黑"/>
          <w:b/>
          <w:color w:val="0B2545"/>
        </w:rPr>
        <w:t>近距离段：</w:t>
      </w:r>
      <w:r>
        <w:rPr>
          <w:rFonts w:ascii="Calibri" w:hAnsi="Calibri" w:eastAsia="微软雅黑"/>
        </w:rPr>
        <w:t>在安全等待点完成外形、相对位置、翻滚轴和角速度估计；接近轨迹应具备被动安全性，并设置中止、后退和避碰逻辑。</w:t>
      </w:r>
    </w:p>
    <w:p>
      <w:r>
        <w:rPr>
          <w:rFonts w:ascii="Calibri" w:hAnsi="Calibri" w:eastAsia="微软雅黑"/>
          <w:b/>
          <w:color w:val="0B2545"/>
        </w:rPr>
        <w:t>接触段：</w:t>
      </w:r>
      <w:r>
        <w:rPr>
          <w:rFonts w:ascii="Calibri" w:hAnsi="Calibri" w:eastAsia="微软雅黑"/>
        </w:rPr>
        <w:t>抓取机构需要与目标局部运动同步，以低接触速度、柔顺力控和有限冲击完成包覆或夹持，避免目标破裂产生新碎片。</w:t>
      </w:r>
    </w:p>
    <w:p>
      <w:r>
        <w:rPr>
          <w:rFonts w:ascii="Calibri" w:hAnsi="Calibri" w:eastAsia="微软雅黑"/>
          <w:b/>
          <w:color w:val="0B2545"/>
        </w:rPr>
        <w:t>抓取后：</w:t>
      </w:r>
      <w:r>
        <w:rPr>
          <w:rFonts w:ascii="Calibri" w:hAnsi="Calibri" w:eastAsia="微软雅黑"/>
        </w:rPr>
        <w:t>确认锁紧状态，抑制组合体残余角动量，更新质量、质心和惯量参数，再将碎片固定或收纳后执行下一段轨道机动。</w:t>
      </w:r>
    </w:p>
    <w:p>
      <w:pPr>
        <w:pStyle w:val="4"/>
        <w:keepNext/>
      </w:pPr>
      <w:r>
        <w:t>3.2 目标间转移计算方法</w:t>
      </w:r>
    </w:p>
    <w:p>
      <w:r>
        <w:rPr>
          <w:rFonts w:ascii="Calibri" w:hAnsi="Calibri" w:eastAsia="微软雅黑"/>
        </w:rPr>
        <w:t>每段转移速度增量按“几何转移+相位机动”计算：Δv_leg = Δv_geometry + Δv_phase。分段时间由节点等待、约51分钟霍曼飞行和相位轨道时间组成。基准情景将单次相位机动限制为不超过10 m/s，因此第2、3段相位闭合时间较长。</w:t>
      </w:r>
    </w:p>
    <w:p>
      <w:r>
        <w:rPr>
          <w:rFonts w:ascii="Calibri" w:hAnsi="Calibri" w:eastAsia="微软雅黑"/>
        </w:rPr>
        <w:t>目标间阶段时间还包含5次目标交会、抓取和收纳停留：t_inter = Σt_leg + 5×2天 = 24.751天。</w:t>
      </w:r>
    </w:p>
    <w:p>
      <w:pPr>
        <w:pStyle w:val="4"/>
        <w:keepNext/>
      </w:pPr>
      <w:r>
        <w:t>3.3 末目标离轨</w:t>
      </w:r>
    </w:p>
    <w:p>
      <w:r>
        <w:rPr>
          <w:rFonts w:ascii="Calibri" w:hAnsi="Calibri" w:eastAsia="微软雅黑"/>
        </w:rPr>
        <w:t>末目标31150的共同历元半长轴为7228.801 km、偏心率为0.002110。模型在约865.915 km远地点实施逆行脉冲，将新轨道近地点降至100 km，计算离轨Δv为202.160 m/s，滑行至新近地点约47.132分钟。</w:t>
      </w:r>
    </w:p>
    <w:p>
      <w:r>
        <w:rPr>
          <w:rFonts w:ascii="Calibri" w:hAnsi="Calibri" w:eastAsia="微软雅黑"/>
        </w:rPr>
        <w:t>该结果采用二体瞬时脉冲模型；尚未计入有限推力、组合体质量变化、姿态控制、发动机安装误差、再入走廊和地面风险约束。</w:t>
      </w:r>
    </w:p>
    <w:p>
      <w:pPr>
        <w:pStyle w:val="3"/>
        <w:keepNext/>
      </w:pPr>
      <w:r>
        <w:t>4 相关指标</w:t>
      </w:r>
    </w:p>
    <w:p>
      <w:pPr>
        <w:pStyle w:val="4"/>
        <w:keepNext/>
      </w:pPr>
      <w:r>
        <w:t>4.1 目标清理顺序与轨道参数</w:t>
      </w:r>
    </w:p>
    <w:tbl>
      <w:tblPr>
        <w:tblStyle w:val="32"/>
        <w:tblW w:w="9360" w:type="dxa"/>
        <w:tblInd w:w="120" w:type="dxa"/>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Layout w:type="fixed"/>
        <w:tblCellMar>
          <w:top w:w="0" w:type="dxa"/>
          <w:left w:w="108" w:type="dxa"/>
          <w:bottom w:w="0" w:type="dxa"/>
          <w:right w:w="108" w:type="dxa"/>
        </w:tblCellMar>
      </w:tblPr>
      <w:tblGrid>
        <w:gridCol w:w="600"/>
        <w:gridCol w:w="1000"/>
        <w:gridCol w:w="1700"/>
        <w:gridCol w:w="1900"/>
        <w:gridCol w:w="1500"/>
        <w:gridCol w:w="2660"/>
      </w:tblGrid>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blHeader/>
        </w:trPr>
        <w:tc>
          <w:tcPr>
            <w:tcW w:w="6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顺序</w:t>
            </w:r>
          </w:p>
        </w:tc>
        <w:tc>
          <w:tcPr>
            <w:tcW w:w="10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NORAD</w:t>
            </w:r>
          </w:p>
        </w:tc>
        <w:tc>
          <w:tcPr>
            <w:tcW w:w="17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国际编号</w:t>
            </w:r>
          </w:p>
        </w:tc>
        <w:tc>
          <w:tcPr>
            <w:tcW w:w="19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轨道高度 km</w:t>
            </w:r>
          </w:p>
        </w:tc>
        <w:tc>
          <w:tcPr>
            <w:tcW w:w="15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RCS m²</w:t>
            </w:r>
          </w:p>
        </w:tc>
        <w:tc>
          <w:tcPr>
            <w:tcW w:w="266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等效直径 cm</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6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1</w:t>
            </w:r>
          </w:p>
        </w:tc>
        <w:tc>
          <w:tcPr>
            <w:tcW w:w="10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36668</w:t>
            </w:r>
          </w:p>
        </w:tc>
        <w:tc>
          <w:tcPr>
            <w:tcW w:w="17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1999-025DYN</w:t>
            </w:r>
          </w:p>
        </w:tc>
        <w:tc>
          <w:tcPr>
            <w:tcW w:w="19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802×876</w:t>
            </w:r>
          </w:p>
        </w:tc>
        <w:tc>
          <w:tcPr>
            <w:tcW w:w="15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0.0106</w:t>
            </w:r>
          </w:p>
        </w:tc>
        <w:tc>
          <w:tcPr>
            <w:tcW w:w="266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11.62</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6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2</w:t>
            </w:r>
          </w:p>
        </w:tc>
        <w:tc>
          <w:tcPr>
            <w:tcW w:w="10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30741</w:t>
            </w:r>
          </w:p>
        </w:tc>
        <w:tc>
          <w:tcPr>
            <w:tcW w:w="17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1999-025ATB</w:t>
            </w:r>
          </w:p>
        </w:tc>
        <w:tc>
          <w:tcPr>
            <w:tcW w:w="19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843×853</w:t>
            </w:r>
          </w:p>
        </w:tc>
        <w:tc>
          <w:tcPr>
            <w:tcW w:w="15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0.0069</w:t>
            </w:r>
          </w:p>
        </w:tc>
        <w:tc>
          <w:tcPr>
            <w:tcW w:w="266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9.37</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6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3</w:t>
            </w:r>
          </w:p>
        </w:tc>
        <w:tc>
          <w:tcPr>
            <w:tcW w:w="10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35089</w:t>
            </w:r>
          </w:p>
        </w:tc>
        <w:tc>
          <w:tcPr>
            <w:tcW w:w="17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1999-025DJR</w:t>
            </w:r>
          </w:p>
        </w:tc>
        <w:tc>
          <w:tcPr>
            <w:tcW w:w="19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805×845</w:t>
            </w:r>
          </w:p>
        </w:tc>
        <w:tc>
          <w:tcPr>
            <w:tcW w:w="15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0.0082</w:t>
            </w:r>
          </w:p>
        </w:tc>
        <w:tc>
          <w:tcPr>
            <w:tcW w:w="266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10.22</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6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4</w:t>
            </w:r>
          </w:p>
        </w:tc>
        <w:tc>
          <w:tcPr>
            <w:tcW w:w="10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35175</w:t>
            </w:r>
          </w:p>
        </w:tc>
        <w:tc>
          <w:tcPr>
            <w:tcW w:w="17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1999-025DNF</w:t>
            </w:r>
          </w:p>
        </w:tc>
        <w:tc>
          <w:tcPr>
            <w:tcW w:w="19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779×860</w:t>
            </w:r>
          </w:p>
        </w:tc>
        <w:tc>
          <w:tcPr>
            <w:tcW w:w="15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0.0056</w:t>
            </w:r>
          </w:p>
        </w:tc>
        <w:tc>
          <w:tcPr>
            <w:tcW w:w="266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8.44</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6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5</w:t>
            </w:r>
          </w:p>
        </w:tc>
        <w:tc>
          <w:tcPr>
            <w:tcW w:w="10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31150</w:t>
            </w:r>
          </w:p>
        </w:tc>
        <w:tc>
          <w:tcPr>
            <w:tcW w:w="17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1999-025BHC</w:t>
            </w:r>
          </w:p>
        </w:tc>
        <w:tc>
          <w:tcPr>
            <w:tcW w:w="19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838×861</w:t>
            </w:r>
          </w:p>
        </w:tc>
        <w:tc>
          <w:tcPr>
            <w:tcW w:w="15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0.0075</w:t>
            </w:r>
          </w:p>
        </w:tc>
        <w:tc>
          <w:tcPr>
            <w:tcW w:w="266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9.77</w:t>
            </w:r>
          </w:p>
        </w:tc>
      </w:tr>
    </w:tbl>
    <w:p>
      <w:pPr>
        <w:spacing w:after="0"/>
      </w:pPr>
    </w:p>
    <w:p>
      <w:pPr>
        <w:pStyle w:val="164"/>
      </w:pPr>
      <w:r>
        <w:t>数据来源：CelesTrak GP/OMM和SATCAT快照 [8][9]。轨道高度与等效直径为本研究计算值 [10]；等效直径不等于实测几何尺寸。</w:t>
      </w:r>
    </w:p>
    <w:p>
      <w:pPr>
        <w:pStyle w:val="4"/>
        <w:keepNext/>
      </w:pPr>
      <w:r>
        <w:t>4.2 四段目标间转移</w:t>
      </w:r>
    </w:p>
    <w:tbl>
      <w:tblPr>
        <w:tblStyle w:val="32"/>
        <w:tblW w:w="9360" w:type="dxa"/>
        <w:tblInd w:w="120" w:type="dxa"/>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Layout w:type="fixed"/>
        <w:tblCellMar>
          <w:top w:w="0" w:type="dxa"/>
          <w:left w:w="108" w:type="dxa"/>
          <w:bottom w:w="0" w:type="dxa"/>
          <w:right w:w="108" w:type="dxa"/>
        </w:tblCellMar>
      </w:tblPr>
      <w:tblGrid>
        <w:gridCol w:w="600"/>
        <w:gridCol w:w="1500"/>
        <w:gridCol w:w="1250"/>
        <w:gridCol w:w="1450"/>
        <w:gridCol w:w="1450"/>
        <w:gridCol w:w="1450"/>
        <w:gridCol w:w="1660"/>
      </w:tblGrid>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blHeader/>
        </w:trPr>
        <w:tc>
          <w:tcPr>
            <w:tcW w:w="6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段</w:t>
            </w:r>
          </w:p>
        </w:tc>
        <w:tc>
          <w:tcPr>
            <w:tcW w:w="15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路线</w:t>
            </w:r>
          </w:p>
        </w:tc>
        <w:tc>
          <w:tcPr>
            <w:tcW w:w="125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面夹角 °</w:t>
            </w:r>
          </w:p>
        </w:tc>
        <w:tc>
          <w:tcPr>
            <w:tcW w:w="145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几何Δv</w:t>
            </w:r>
          </w:p>
        </w:tc>
        <w:tc>
          <w:tcPr>
            <w:tcW w:w="145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相位Δv</w:t>
            </w:r>
          </w:p>
        </w:tc>
        <w:tc>
          <w:tcPr>
            <w:tcW w:w="145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分段Δv</w:t>
            </w:r>
          </w:p>
        </w:tc>
        <w:tc>
          <w:tcPr>
            <w:tcW w:w="166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历时 day</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6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1</w:t>
            </w:r>
          </w:p>
        </w:tc>
        <w:tc>
          <w:tcPr>
            <w:tcW w:w="15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36668→30741</w:t>
            </w:r>
          </w:p>
        </w:tc>
        <w:tc>
          <w:tcPr>
            <w:tcW w:w="125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0.091</w:t>
            </w:r>
          </w:p>
        </w:tc>
        <w:tc>
          <w:tcPr>
            <w:tcW w:w="145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14.779</w:t>
            </w:r>
          </w:p>
        </w:tc>
        <w:tc>
          <w:tcPr>
            <w:tcW w:w="145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16.483</w:t>
            </w:r>
          </w:p>
        </w:tc>
        <w:tc>
          <w:tcPr>
            <w:tcW w:w="145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31.262</w:t>
            </w:r>
          </w:p>
        </w:tc>
        <w:tc>
          <w:tcPr>
            <w:tcW w:w="166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0.422</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6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2</w:t>
            </w:r>
          </w:p>
        </w:tc>
        <w:tc>
          <w:tcPr>
            <w:tcW w:w="15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30741→35089</w:t>
            </w:r>
          </w:p>
        </w:tc>
        <w:tc>
          <w:tcPr>
            <w:tcW w:w="125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0.280</w:t>
            </w:r>
          </w:p>
        </w:tc>
        <w:tc>
          <w:tcPr>
            <w:tcW w:w="145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43.675</w:t>
            </w:r>
          </w:p>
        </w:tc>
        <w:tc>
          <w:tcPr>
            <w:tcW w:w="145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19.818</w:t>
            </w:r>
          </w:p>
        </w:tc>
        <w:tc>
          <w:tcPr>
            <w:tcW w:w="145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63.492</w:t>
            </w:r>
          </w:p>
        </w:tc>
        <w:tc>
          <w:tcPr>
            <w:tcW w:w="166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7.408</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6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3</w:t>
            </w:r>
          </w:p>
        </w:tc>
        <w:tc>
          <w:tcPr>
            <w:tcW w:w="15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35089→35175</w:t>
            </w:r>
          </w:p>
        </w:tc>
        <w:tc>
          <w:tcPr>
            <w:tcW w:w="125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0.226</w:t>
            </w:r>
          </w:p>
        </w:tc>
        <w:tc>
          <w:tcPr>
            <w:tcW w:w="145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29.939</w:t>
            </w:r>
          </w:p>
        </w:tc>
        <w:tc>
          <w:tcPr>
            <w:tcW w:w="145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19.915</w:t>
            </w:r>
          </w:p>
        </w:tc>
        <w:tc>
          <w:tcPr>
            <w:tcW w:w="145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49.854</w:t>
            </w:r>
          </w:p>
        </w:tc>
        <w:tc>
          <w:tcPr>
            <w:tcW w:w="166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6.650</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6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4</w:t>
            </w:r>
          </w:p>
        </w:tc>
        <w:tc>
          <w:tcPr>
            <w:tcW w:w="15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35175→31150</w:t>
            </w:r>
          </w:p>
        </w:tc>
        <w:tc>
          <w:tcPr>
            <w:tcW w:w="125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0.172</w:t>
            </w:r>
          </w:p>
        </w:tc>
        <w:tc>
          <w:tcPr>
            <w:tcW w:w="145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31.088</w:t>
            </w:r>
          </w:p>
        </w:tc>
        <w:tc>
          <w:tcPr>
            <w:tcW w:w="145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17.044</w:t>
            </w:r>
          </w:p>
        </w:tc>
        <w:tc>
          <w:tcPr>
            <w:tcW w:w="145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48.132</w:t>
            </w:r>
          </w:p>
        </w:tc>
        <w:tc>
          <w:tcPr>
            <w:tcW w:w="166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0.271</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6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合计</w:t>
            </w:r>
          </w:p>
        </w:tc>
        <w:tc>
          <w:tcPr>
            <w:tcW w:w="15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w:t>
            </w:r>
          </w:p>
        </w:tc>
        <w:tc>
          <w:tcPr>
            <w:tcW w:w="125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w:t>
            </w:r>
          </w:p>
        </w:tc>
        <w:tc>
          <w:tcPr>
            <w:tcW w:w="145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119.481</w:t>
            </w:r>
          </w:p>
        </w:tc>
        <w:tc>
          <w:tcPr>
            <w:tcW w:w="145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73.260</w:t>
            </w:r>
          </w:p>
        </w:tc>
        <w:tc>
          <w:tcPr>
            <w:tcW w:w="145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192.741</w:t>
            </w:r>
          </w:p>
        </w:tc>
        <w:tc>
          <w:tcPr>
            <w:tcW w:w="166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7"/>
              </w:rPr>
              <w:t>14.751</w:t>
            </w:r>
          </w:p>
        </w:tc>
      </w:tr>
    </w:tbl>
    <w:p>
      <w:pPr>
        <w:spacing w:after="0"/>
      </w:pPr>
    </w:p>
    <w:p>
      <w:pPr>
        <w:pStyle w:val="164"/>
      </w:pPr>
      <w:r>
        <w:t>数据来源：SGP4互轨道面交点搜索、等效圆轨道霍曼/轨道面合并机动及相位模型 [10]。Δv单位均为m/s。</w:t>
      </w:r>
    </w:p>
    <w:p>
      <w:pPr>
        <w:pStyle w:val="4"/>
        <w:keepNext/>
      </w:pPr>
      <w:r>
        <w:t>4.3 任务周期与Δv</w:t>
      </w:r>
    </w:p>
    <w:tbl>
      <w:tblPr>
        <w:tblStyle w:val="32"/>
        <w:tblW w:w="9360" w:type="dxa"/>
        <w:tblInd w:w="120" w:type="dxa"/>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Layout w:type="fixed"/>
        <w:tblCellMar>
          <w:top w:w="0" w:type="dxa"/>
          <w:left w:w="108" w:type="dxa"/>
          <w:bottom w:w="0" w:type="dxa"/>
          <w:right w:w="108" w:type="dxa"/>
        </w:tblCellMar>
      </w:tblPr>
      <w:tblGrid>
        <w:gridCol w:w="3000"/>
        <w:gridCol w:w="1500"/>
        <w:gridCol w:w="1200"/>
        <w:gridCol w:w="3660"/>
      </w:tblGrid>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blHeader/>
        </w:trPr>
        <w:tc>
          <w:tcPr>
            <w:tcW w:w="30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指标</w:t>
            </w:r>
          </w:p>
        </w:tc>
        <w:tc>
          <w:tcPr>
            <w:tcW w:w="15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数值</w:t>
            </w:r>
          </w:p>
        </w:tc>
        <w:tc>
          <w:tcPr>
            <w:tcW w:w="12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单位</w:t>
            </w:r>
          </w:p>
        </w:tc>
        <w:tc>
          <w:tcPr>
            <w:tcW w:w="366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数据性质/计算口径</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首目标获取</w:t>
            </w:r>
          </w:p>
        </w:tc>
        <w:tc>
          <w:tcPr>
            <w:tcW w:w="1500" w:type="dxa"/>
            <w:tcMar>
              <w:top w:w="80" w:type="dxa"/>
              <w:left w:w="120" w:type="dxa"/>
              <w:bottom w:w="80" w:type="dxa"/>
              <w:right w:w="120" w:type="dxa"/>
            </w:tcMar>
            <w:vAlign w:val="center"/>
          </w:tcPr>
          <w:p>
            <w:pPr>
              <w:keepLines/>
              <w:spacing w:before="0" w:after="0" w:line="259" w:lineRule="auto"/>
              <w:jc w:val="right"/>
            </w:pPr>
            <w:r>
              <w:rPr>
                <w:rFonts w:ascii="Calibri" w:hAnsi="Calibri" w:eastAsia="微软雅黑"/>
                <w:b w:val="0"/>
                <w:i w:val="0"/>
                <w:color w:val="1F2937"/>
                <w:sz w:val="18"/>
              </w:rPr>
              <w:t>90.000</w:t>
            </w:r>
          </w:p>
        </w:tc>
        <w:tc>
          <w:tcPr>
            <w:tcW w:w="12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day</w:t>
            </w:r>
          </w:p>
        </w:tc>
        <w:tc>
          <w:tcPr>
            <w:tcW w:w="36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规划假设</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目标间阶段</w:t>
            </w:r>
          </w:p>
        </w:tc>
        <w:tc>
          <w:tcPr>
            <w:tcW w:w="1500" w:type="dxa"/>
            <w:tcMar>
              <w:top w:w="80" w:type="dxa"/>
              <w:left w:w="120" w:type="dxa"/>
              <w:bottom w:w="80" w:type="dxa"/>
              <w:right w:w="120" w:type="dxa"/>
            </w:tcMar>
            <w:vAlign w:val="center"/>
          </w:tcPr>
          <w:p>
            <w:pPr>
              <w:keepLines/>
              <w:spacing w:before="0" w:after="0" w:line="259" w:lineRule="auto"/>
              <w:jc w:val="right"/>
            </w:pPr>
            <w:r>
              <w:rPr>
                <w:rFonts w:ascii="Calibri" w:hAnsi="Calibri" w:eastAsia="微软雅黑"/>
                <w:b w:val="0"/>
                <w:i w:val="0"/>
                <w:color w:val="1F2937"/>
                <w:sz w:val="18"/>
              </w:rPr>
              <w:t>24.751</w:t>
            </w:r>
          </w:p>
        </w:tc>
        <w:tc>
          <w:tcPr>
            <w:tcW w:w="12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day</w:t>
            </w:r>
          </w:p>
        </w:tc>
        <w:tc>
          <w:tcPr>
            <w:tcW w:w="36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模型计算；含5次×2天停留</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最终处置操作</w:t>
            </w:r>
          </w:p>
        </w:tc>
        <w:tc>
          <w:tcPr>
            <w:tcW w:w="1500" w:type="dxa"/>
            <w:tcMar>
              <w:top w:w="80" w:type="dxa"/>
              <w:left w:w="120" w:type="dxa"/>
              <w:bottom w:w="80" w:type="dxa"/>
              <w:right w:w="120" w:type="dxa"/>
            </w:tcMar>
            <w:vAlign w:val="center"/>
          </w:tcPr>
          <w:p>
            <w:pPr>
              <w:keepLines/>
              <w:spacing w:before="0" w:after="0" w:line="259" w:lineRule="auto"/>
              <w:jc w:val="right"/>
            </w:pPr>
            <w:r>
              <w:rPr>
                <w:rFonts w:ascii="Calibri" w:hAnsi="Calibri" w:eastAsia="微软雅黑"/>
                <w:b w:val="0"/>
                <w:i w:val="0"/>
                <w:color w:val="1F2937"/>
                <w:sz w:val="18"/>
              </w:rPr>
              <w:t>7.000</w:t>
            </w:r>
          </w:p>
        </w:tc>
        <w:tc>
          <w:tcPr>
            <w:tcW w:w="12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day</w:t>
            </w:r>
          </w:p>
        </w:tc>
        <w:tc>
          <w:tcPr>
            <w:tcW w:w="36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规划假设</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任务总周期</w:t>
            </w:r>
          </w:p>
        </w:tc>
        <w:tc>
          <w:tcPr>
            <w:tcW w:w="1500" w:type="dxa"/>
            <w:tcMar>
              <w:top w:w="80" w:type="dxa"/>
              <w:left w:w="120" w:type="dxa"/>
              <w:bottom w:w="80" w:type="dxa"/>
              <w:right w:w="120" w:type="dxa"/>
            </w:tcMar>
            <w:vAlign w:val="center"/>
          </w:tcPr>
          <w:p>
            <w:pPr>
              <w:keepLines/>
              <w:spacing w:before="0" w:after="0" w:line="259" w:lineRule="auto"/>
              <w:jc w:val="right"/>
            </w:pPr>
            <w:r>
              <w:rPr>
                <w:rFonts w:ascii="Calibri" w:hAnsi="Calibri" w:eastAsia="微软雅黑"/>
                <w:b w:val="0"/>
                <w:i w:val="0"/>
                <w:color w:val="1F2937"/>
                <w:sz w:val="18"/>
              </w:rPr>
              <w:t>121.751</w:t>
            </w:r>
          </w:p>
        </w:tc>
        <w:tc>
          <w:tcPr>
            <w:tcW w:w="12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day</w:t>
            </w:r>
          </w:p>
        </w:tc>
        <w:tc>
          <w:tcPr>
            <w:tcW w:w="36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90+24.751+7</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目标间转移Δv</w:t>
            </w:r>
          </w:p>
        </w:tc>
        <w:tc>
          <w:tcPr>
            <w:tcW w:w="1500" w:type="dxa"/>
            <w:tcMar>
              <w:top w:w="80" w:type="dxa"/>
              <w:left w:w="120" w:type="dxa"/>
              <w:bottom w:w="80" w:type="dxa"/>
              <w:right w:w="120" w:type="dxa"/>
            </w:tcMar>
            <w:vAlign w:val="center"/>
          </w:tcPr>
          <w:p>
            <w:pPr>
              <w:keepLines/>
              <w:spacing w:before="0" w:after="0" w:line="259" w:lineRule="auto"/>
              <w:jc w:val="right"/>
            </w:pPr>
            <w:r>
              <w:rPr>
                <w:rFonts w:ascii="Calibri" w:hAnsi="Calibri" w:eastAsia="微软雅黑"/>
                <w:b w:val="0"/>
                <w:i w:val="0"/>
                <w:color w:val="1F2937"/>
                <w:sz w:val="18"/>
              </w:rPr>
              <w:t>192.741</w:t>
            </w:r>
          </w:p>
        </w:tc>
        <w:tc>
          <w:tcPr>
            <w:tcW w:w="12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m/s</w:t>
            </w:r>
          </w:p>
        </w:tc>
        <w:tc>
          <w:tcPr>
            <w:tcW w:w="36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模型计算</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首目标获取Δv</w:t>
            </w:r>
          </w:p>
        </w:tc>
        <w:tc>
          <w:tcPr>
            <w:tcW w:w="1500" w:type="dxa"/>
            <w:tcMar>
              <w:top w:w="80" w:type="dxa"/>
              <w:left w:w="120" w:type="dxa"/>
              <w:bottom w:w="80" w:type="dxa"/>
              <w:right w:w="120" w:type="dxa"/>
            </w:tcMar>
            <w:vAlign w:val="center"/>
          </w:tcPr>
          <w:p>
            <w:pPr>
              <w:keepLines/>
              <w:spacing w:before="0" w:after="0" w:line="259" w:lineRule="auto"/>
              <w:jc w:val="right"/>
            </w:pPr>
            <w:r>
              <w:rPr>
                <w:rFonts w:ascii="Calibri" w:hAnsi="Calibri" w:eastAsia="微软雅黑"/>
                <w:b w:val="0"/>
                <w:i w:val="0"/>
                <w:color w:val="1F2937"/>
                <w:sz w:val="18"/>
              </w:rPr>
              <w:t>30.000</w:t>
            </w:r>
          </w:p>
        </w:tc>
        <w:tc>
          <w:tcPr>
            <w:tcW w:w="12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m/s</w:t>
            </w:r>
          </w:p>
        </w:tc>
        <w:tc>
          <w:tcPr>
            <w:tcW w:w="36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规划假设</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5目标RPO Δv</w:t>
            </w:r>
          </w:p>
        </w:tc>
        <w:tc>
          <w:tcPr>
            <w:tcW w:w="1500" w:type="dxa"/>
            <w:tcMar>
              <w:top w:w="80" w:type="dxa"/>
              <w:left w:w="120" w:type="dxa"/>
              <w:bottom w:w="80" w:type="dxa"/>
              <w:right w:w="120" w:type="dxa"/>
            </w:tcMar>
            <w:vAlign w:val="center"/>
          </w:tcPr>
          <w:p>
            <w:pPr>
              <w:keepLines/>
              <w:spacing w:before="0" w:after="0" w:line="259" w:lineRule="auto"/>
              <w:jc w:val="right"/>
            </w:pPr>
            <w:r>
              <w:rPr>
                <w:rFonts w:ascii="Calibri" w:hAnsi="Calibri" w:eastAsia="微软雅黑"/>
                <w:b w:val="0"/>
                <w:i w:val="0"/>
                <w:color w:val="1F2937"/>
                <w:sz w:val="18"/>
              </w:rPr>
              <w:t>25.000</w:t>
            </w:r>
          </w:p>
        </w:tc>
        <w:tc>
          <w:tcPr>
            <w:tcW w:w="12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m/s</w:t>
            </w:r>
          </w:p>
        </w:tc>
        <w:tc>
          <w:tcPr>
            <w:tcW w:w="36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5×5 m/s规划假设</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末目标离轨Δv</w:t>
            </w:r>
          </w:p>
        </w:tc>
        <w:tc>
          <w:tcPr>
            <w:tcW w:w="1500" w:type="dxa"/>
            <w:tcMar>
              <w:top w:w="80" w:type="dxa"/>
              <w:left w:w="120" w:type="dxa"/>
              <w:bottom w:w="80" w:type="dxa"/>
              <w:right w:w="120" w:type="dxa"/>
            </w:tcMar>
            <w:vAlign w:val="center"/>
          </w:tcPr>
          <w:p>
            <w:pPr>
              <w:keepLines/>
              <w:spacing w:before="0" w:after="0" w:line="259" w:lineRule="auto"/>
              <w:jc w:val="right"/>
            </w:pPr>
            <w:r>
              <w:rPr>
                <w:rFonts w:ascii="Calibri" w:hAnsi="Calibri" w:eastAsia="微软雅黑"/>
                <w:b w:val="0"/>
                <w:i w:val="0"/>
                <w:color w:val="1F2937"/>
                <w:sz w:val="18"/>
              </w:rPr>
              <w:t>202.160</w:t>
            </w:r>
          </w:p>
        </w:tc>
        <w:tc>
          <w:tcPr>
            <w:tcW w:w="12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m/s</w:t>
            </w:r>
          </w:p>
        </w:tc>
        <w:tc>
          <w:tcPr>
            <w:tcW w:w="36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二体模型</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余量前总Δv</w:t>
            </w:r>
          </w:p>
        </w:tc>
        <w:tc>
          <w:tcPr>
            <w:tcW w:w="1500" w:type="dxa"/>
            <w:tcMar>
              <w:top w:w="80" w:type="dxa"/>
              <w:left w:w="120" w:type="dxa"/>
              <w:bottom w:w="80" w:type="dxa"/>
              <w:right w:w="120" w:type="dxa"/>
            </w:tcMar>
            <w:vAlign w:val="center"/>
          </w:tcPr>
          <w:p>
            <w:pPr>
              <w:keepLines/>
              <w:spacing w:before="0" w:after="0" w:line="259" w:lineRule="auto"/>
              <w:jc w:val="right"/>
            </w:pPr>
            <w:r>
              <w:rPr>
                <w:rFonts w:ascii="Calibri" w:hAnsi="Calibri" w:eastAsia="微软雅黑"/>
                <w:b w:val="0"/>
                <w:i w:val="0"/>
                <w:color w:val="1F2937"/>
                <w:sz w:val="18"/>
              </w:rPr>
              <w:t>449.901</w:t>
            </w:r>
          </w:p>
        </w:tc>
        <w:tc>
          <w:tcPr>
            <w:tcW w:w="12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m/s</w:t>
            </w:r>
          </w:p>
        </w:tc>
        <w:tc>
          <w:tcPr>
            <w:tcW w:w="36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以上四项之和</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设计总Δv</w:t>
            </w:r>
          </w:p>
        </w:tc>
        <w:tc>
          <w:tcPr>
            <w:tcW w:w="1500" w:type="dxa"/>
            <w:tcMar>
              <w:top w:w="80" w:type="dxa"/>
              <w:left w:w="120" w:type="dxa"/>
              <w:bottom w:w="80" w:type="dxa"/>
              <w:right w:w="120" w:type="dxa"/>
            </w:tcMar>
            <w:vAlign w:val="center"/>
          </w:tcPr>
          <w:p>
            <w:pPr>
              <w:keepLines/>
              <w:spacing w:before="0" w:after="0" w:line="259" w:lineRule="auto"/>
              <w:jc w:val="right"/>
            </w:pPr>
            <w:r>
              <w:rPr>
                <w:rFonts w:ascii="Calibri" w:hAnsi="Calibri" w:eastAsia="微软雅黑"/>
                <w:b w:val="0"/>
                <w:i w:val="0"/>
                <w:color w:val="1F2937"/>
                <w:sz w:val="18"/>
              </w:rPr>
              <w:t>539.881</w:t>
            </w:r>
          </w:p>
        </w:tc>
        <w:tc>
          <w:tcPr>
            <w:tcW w:w="12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m/s</w:t>
            </w:r>
          </w:p>
        </w:tc>
        <w:tc>
          <w:tcPr>
            <w:tcW w:w="36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含20%规划余量</w:t>
            </w:r>
          </w:p>
        </w:tc>
      </w:tr>
    </w:tbl>
    <w:p>
      <w:pPr>
        <w:spacing w:after="0"/>
      </w:pPr>
    </w:p>
    <w:p>
      <w:pPr>
        <w:pStyle w:val="164"/>
      </w:pPr>
      <w:r>
        <w:t>数据来源：本地模型结果 [10]。90天、30 m/s、2天/目标、5 m/s/目标、7天和20%余量均为规划假设，不是公开目录量。</w:t>
      </w:r>
    </w:p>
    <w:p>
      <w:pPr>
        <w:pStyle w:val="4"/>
        <w:keepNext/>
      </w:pPr>
      <w:r>
        <w:t>4.4 清理能力指标</w:t>
      </w:r>
    </w:p>
    <w:tbl>
      <w:tblPr>
        <w:tblStyle w:val="32"/>
        <w:tblW w:w="9360" w:type="dxa"/>
        <w:tblInd w:w="120" w:type="dxa"/>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Layout w:type="fixed"/>
        <w:tblCellMar>
          <w:top w:w="0" w:type="dxa"/>
          <w:left w:w="108" w:type="dxa"/>
          <w:bottom w:w="0" w:type="dxa"/>
          <w:right w:w="108" w:type="dxa"/>
        </w:tblCellMar>
      </w:tblPr>
      <w:tblGrid>
        <w:gridCol w:w="3000"/>
        <w:gridCol w:w="1500"/>
        <w:gridCol w:w="1500"/>
        <w:gridCol w:w="3360"/>
      </w:tblGrid>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blHeader/>
        </w:trPr>
        <w:tc>
          <w:tcPr>
            <w:tcW w:w="30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指标</w:t>
            </w:r>
          </w:p>
        </w:tc>
        <w:tc>
          <w:tcPr>
            <w:tcW w:w="15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数值</w:t>
            </w:r>
          </w:p>
        </w:tc>
        <w:tc>
          <w:tcPr>
            <w:tcW w:w="15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单位</w:t>
            </w:r>
          </w:p>
        </w:tc>
        <w:tc>
          <w:tcPr>
            <w:tcW w:w="336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口径</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名义目标数</w:t>
            </w:r>
          </w:p>
        </w:tc>
        <w:tc>
          <w:tcPr>
            <w:tcW w:w="1500" w:type="dxa"/>
            <w:tcMar>
              <w:top w:w="80" w:type="dxa"/>
              <w:left w:w="120" w:type="dxa"/>
              <w:bottom w:w="80" w:type="dxa"/>
              <w:right w:w="120" w:type="dxa"/>
            </w:tcMar>
            <w:vAlign w:val="center"/>
          </w:tcPr>
          <w:p>
            <w:pPr>
              <w:keepLines/>
              <w:spacing w:before="0" w:after="0" w:line="259" w:lineRule="auto"/>
              <w:jc w:val="right"/>
            </w:pPr>
            <w:r>
              <w:rPr>
                <w:rFonts w:ascii="Calibri" w:hAnsi="Calibri" w:eastAsia="微软雅黑"/>
                <w:b w:val="0"/>
                <w:i w:val="0"/>
                <w:color w:val="1F2937"/>
                <w:sz w:val="18"/>
              </w:rPr>
              <w:t>5.000</w:t>
            </w:r>
          </w:p>
        </w:tc>
        <w:tc>
          <w:tcPr>
            <w:tcW w:w="15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target</w:t>
            </w:r>
          </w:p>
        </w:tc>
        <w:tc>
          <w:tcPr>
            <w:tcW w:w="33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5个目标全部完成</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名义清理率</w:t>
            </w:r>
          </w:p>
        </w:tc>
        <w:tc>
          <w:tcPr>
            <w:tcW w:w="1500" w:type="dxa"/>
            <w:tcMar>
              <w:top w:w="80" w:type="dxa"/>
              <w:left w:w="120" w:type="dxa"/>
              <w:bottom w:w="80" w:type="dxa"/>
              <w:right w:w="120" w:type="dxa"/>
            </w:tcMar>
            <w:vAlign w:val="center"/>
          </w:tcPr>
          <w:p>
            <w:pPr>
              <w:keepLines/>
              <w:spacing w:before="0" w:after="0" w:line="259" w:lineRule="auto"/>
              <w:jc w:val="right"/>
            </w:pPr>
            <w:r>
              <w:rPr>
                <w:rFonts w:ascii="Calibri" w:hAnsi="Calibri" w:eastAsia="微软雅黑"/>
                <w:b w:val="0"/>
                <w:i w:val="0"/>
                <w:color w:val="1F2937"/>
                <w:sz w:val="18"/>
              </w:rPr>
              <w:t>14.990</w:t>
            </w:r>
          </w:p>
        </w:tc>
        <w:tc>
          <w:tcPr>
            <w:tcW w:w="15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target/year</w:t>
            </w:r>
          </w:p>
        </w:tc>
        <w:tc>
          <w:tcPr>
            <w:tcW w:w="33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5×365/121.751</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继续型期望有效数</w:t>
            </w:r>
          </w:p>
        </w:tc>
        <w:tc>
          <w:tcPr>
            <w:tcW w:w="1500" w:type="dxa"/>
            <w:tcMar>
              <w:top w:w="80" w:type="dxa"/>
              <w:left w:w="120" w:type="dxa"/>
              <w:bottom w:w="80" w:type="dxa"/>
              <w:right w:w="120" w:type="dxa"/>
            </w:tcMar>
            <w:vAlign w:val="center"/>
          </w:tcPr>
          <w:p>
            <w:pPr>
              <w:keepLines/>
              <w:spacing w:before="0" w:after="0" w:line="259" w:lineRule="auto"/>
              <w:jc w:val="right"/>
            </w:pPr>
            <w:r>
              <w:rPr>
                <w:rFonts w:ascii="Calibri" w:hAnsi="Calibri" w:eastAsia="微软雅黑"/>
                <w:b w:val="0"/>
                <w:i w:val="0"/>
                <w:color w:val="1F2937"/>
                <w:sz w:val="18"/>
              </w:rPr>
              <w:t>3.712</w:t>
            </w:r>
          </w:p>
        </w:tc>
        <w:tc>
          <w:tcPr>
            <w:tcW w:w="15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target</w:t>
            </w:r>
          </w:p>
        </w:tc>
        <w:tc>
          <w:tcPr>
            <w:tcW w:w="33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失败后安全跳过并继续；q=75%，处置=99%</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继续型有效清理率</w:t>
            </w:r>
          </w:p>
        </w:tc>
        <w:tc>
          <w:tcPr>
            <w:tcW w:w="1500" w:type="dxa"/>
            <w:tcMar>
              <w:top w:w="80" w:type="dxa"/>
              <w:left w:w="120" w:type="dxa"/>
              <w:bottom w:w="80" w:type="dxa"/>
              <w:right w:w="120" w:type="dxa"/>
            </w:tcMar>
            <w:vAlign w:val="center"/>
          </w:tcPr>
          <w:p>
            <w:pPr>
              <w:keepLines/>
              <w:spacing w:before="0" w:after="0" w:line="259" w:lineRule="auto"/>
              <w:jc w:val="right"/>
            </w:pPr>
            <w:r>
              <w:rPr>
                <w:rFonts w:ascii="Calibri" w:hAnsi="Calibri" w:eastAsia="微软雅黑"/>
                <w:b w:val="0"/>
                <w:i w:val="0"/>
                <w:color w:val="1F2937"/>
                <w:sz w:val="18"/>
              </w:rPr>
              <w:t>11.130</w:t>
            </w:r>
          </w:p>
        </w:tc>
        <w:tc>
          <w:tcPr>
            <w:tcW w:w="15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target/year</w:t>
            </w:r>
          </w:p>
        </w:tc>
        <w:tc>
          <w:tcPr>
            <w:tcW w:w="33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期望有效数×365/周期</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终止型期望有效数</w:t>
            </w:r>
          </w:p>
        </w:tc>
        <w:tc>
          <w:tcPr>
            <w:tcW w:w="1500" w:type="dxa"/>
            <w:tcMar>
              <w:top w:w="80" w:type="dxa"/>
              <w:left w:w="120" w:type="dxa"/>
              <w:bottom w:w="80" w:type="dxa"/>
              <w:right w:w="120" w:type="dxa"/>
            </w:tcMar>
            <w:vAlign w:val="center"/>
          </w:tcPr>
          <w:p>
            <w:pPr>
              <w:keepLines/>
              <w:spacing w:before="0" w:after="0" w:line="259" w:lineRule="auto"/>
              <w:jc w:val="right"/>
            </w:pPr>
            <w:r>
              <w:rPr>
                <w:rFonts w:ascii="Calibri" w:hAnsi="Calibri" w:eastAsia="微软雅黑"/>
                <w:b w:val="0"/>
                <w:i w:val="0"/>
                <w:color w:val="1F2937"/>
                <w:sz w:val="18"/>
              </w:rPr>
              <w:t>2.265</w:t>
            </w:r>
          </w:p>
        </w:tc>
        <w:tc>
          <w:tcPr>
            <w:tcW w:w="15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target</w:t>
            </w:r>
          </w:p>
        </w:tc>
        <w:tc>
          <w:tcPr>
            <w:tcW w:w="33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任一失败即终止；q=75%，处置=99%</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30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终止型有效清理率</w:t>
            </w:r>
          </w:p>
        </w:tc>
        <w:tc>
          <w:tcPr>
            <w:tcW w:w="1500" w:type="dxa"/>
            <w:tcMar>
              <w:top w:w="80" w:type="dxa"/>
              <w:left w:w="120" w:type="dxa"/>
              <w:bottom w:w="80" w:type="dxa"/>
              <w:right w:w="120" w:type="dxa"/>
            </w:tcMar>
            <w:vAlign w:val="center"/>
          </w:tcPr>
          <w:p>
            <w:pPr>
              <w:keepLines/>
              <w:spacing w:before="0" w:after="0" w:line="259" w:lineRule="auto"/>
              <w:jc w:val="right"/>
            </w:pPr>
            <w:r>
              <w:rPr>
                <w:rFonts w:ascii="Calibri" w:hAnsi="Calibri" w:eastAsia="微软雅黑"/>
                <w:b w:val="0"/>
                <w:i w:val="0"/>
                <w:color w:val="1F2937"/>
                <w:sz w:val="18"/>
              </w:rPr>
              <w:t>6.791</w:t>
            </w:r>
          </w:p>
        </w:tc>
        <w:tc>
          <w:tcPr>
            <w:tcW w:w="150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target/year</w:t>
            </w:r>
          </w:p>
        </w:tc>
        <w:tc>
          <w:tcPr>
            <w:tcW w:w="33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期望有效数×365/周期</w:t>
            </w:r>
          </w:p>
        </w:tc>
      </w:tr>
    </w:tbl>
    <w:p>
      <w:pPr>
        <w:spacing w:after="0"/>
      </w:pPr>
    </w:p>
    <w:p>
      <w:pPr>
        <w:pStyle w:val="164"/>
      </w:pPr>
      <w:r>
        <w:t>数据来源：本地能力计算 [10]。成功率参数属于敏感性假设，不能视为实际任务已验证可靠性。</w:t>
      </w:r>
    </w:p>
    <w:p>
      <w:pPr>
        <w:spacing w:after="0"/>
      </w:pPr>
    </w:p>
    <w:p>
      <w:r>
        <w:br w:type="page"/>
      </w:r>
      <w:bookmarkStart w:id="0" w:name="_GoBack"/>
      <w:bookmarkEnd w:id="0"/>
    </w:p>
    <w:p>
      <w:pPr>
        <w:pStyle w:val="3"/>
        <w:keepNext/>
      </w:pPr>
      <w:r>
        <w:t>5 数据来源与适用边界</w:t>
      </w:r>
    </w:p>
    <w:p>
      <w:pPr>
        <w:pStyle w:val="4"/>
        <w:keepNext/>
      </w:pPr>
      <w:r>
        <w:t>5.1 数据溯源</w:t>
      </w:r>
    </w:p>
    <w:tbl>
      <w:tblPr>
        <w:tblStyle w:val="32"/>
        <w:tblW w:w="9360" w:type="dxa"/>
        <w:tblInd w:w="120" w:type="dxa"/>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Layout w:type="fixed"/>
        <w:tblCellMar>
          <w:top w:w="0" w:type="dxa"/>
          <w:left w:w="108" w:type="dxa"/>
          <w:bottom w:w="0" w:type="dxa"/>
          <w:right w:w="108" w:type="dxa"/>
        </w:tblCellMar>
      </w:tblPr>
      <w:tblGrid>
        <w:gridCol w:w="1600"/>
        <w:gridCol w:w="2400"/>
        <w:gridCol w:w="3900"/>
        <w:gridCol w:w="1460"/>
      </w:tblGrid>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blHeader/>
        </w:trPr>
        <w:tc>
          <w:tcPr>
            <w:tcW w:w="16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类别</w:t>
            </w:r>
          </w:p>
        </w:tc>
        <w:tc>
          <w:tcPr>
            <w:tcW w:w="24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来源</w:t>
            </w:r>
          </w:p>
        </w:tc>
        <w:tc>
          <w:tcPr>
            <w:tcW w:w="39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主要字段/用途</w:t>
            </w:r>
          </w:p>
        </w:tc>
        <w:tc>
          <w:tcPr>
            <w:tcW w:w="146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性质</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轨道根数</w:t>
            </w:r>
          </w:p>
        </w:tc>
        <w:tc>
          <w:tcPr>
            <w:tcW w:w="24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CelesTrak GP/OMM</w:t>
            </w:r>
          </w:p>
        </w:tc>
        <w:tc>
          <w:tcPr>
            <w:tcW w:w="39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EPOCH、平均运动、e、i、RAAN、近地点幅角、平近点角</w:t>
            </w:r>
          </w:p>
        </w:tc>
        <w:tc>
          <w:tcPr>
            <w:tcW w:w="146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公开目录</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目标属性</w:t>
            </w:r>
          </w:p>
        </w:tc>
        <w:tc>
          <w:tcPr>
            <w:tcW w:w="24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CelesTrak SATCAT</w:t>
            </w:r>
          </w:p>
        </w:tc>
        <w:tc>
          <w:tcPr>
            <w:tcW w:w="39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NORAD、国际编号、对象类型、RCS</w:t>
            </w:r>
          </w:p>
        </w:tc>
        <w:tc>
          <w:tcPr>
            <w:tcW w:w="146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公开目录</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共同历元状态</w:t>
            </w:r>
          </w:p>
        </w:tc>
        <w:tc>
          <w:tcPr>
            <w:tcW w:w="24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SGP4 2.25</w:t>
            </w:r>
          </w:p>
        </w:tc>
        <w:tc>
          <w:tcPr>
            <w:tcW w:w="39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TEME位置速度、统一时刻轨道参数</w:t>
            </w:r>
          </w:p>
        </w:tc>
        <w:tc>
          <w:tcPr>
            <w:tcW w:w="146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模型计算</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路线与时序</w:t>
            </w:r>
          </w:p>
        </w:tc>
        <w:tc>
          <w:tcPr>
            <w:tcW w:w="24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public_debris_mission_calc.py</w:t>
            </w:r>
          </w:p>
        </w:tc>
        <w:tc>
          <w:tcPr>
            <w:tcW w:w="39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目标顺序、节点等待、霍曼、相位、Δv和历时</w:t>
            </w:r>
          </w:p>
        </w:tc>
        <w:tc>
          <w:tcPr>
            <w:tcW w:w="146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模型计算</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操作与成功率</w:t>
            </w:r>
          </w:p>
        </w:tc>
        <w:tc>
          <w:tcPr>
            <w:tcW w:w="24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本研究基准假设</w:t>
            </w:r>
          </w:p>
        </w:tc>
        <w:tc>
          <w:tcPr>
            <w:tcW w:w="39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90天、2天/目标、5 m/s/目标、7天、q与处置成功率</w:t>
            </w:r>
          </w:p>
        </w:tc>
        <w:tc>
          <w:tcPr>
            <w:tcW w:w="1460" w:type="dxa"/>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val="0"/>
                <w:i w:val="0"/>
                <w:color w:val="1F2937"/>
                <w:sz w:val="18"/>
              </w:rPr>
              <w:t>规划假设</w:t>
            </w:r>
          </w:p>
        </w:tc>
      </w:tr>
    </w:tbl>
    <w:p>
      <w:pPr>
        <w:spacing w:after="0"/>
      </w:pPr>
    </w:p>
    <w:p>
      <w:pPr>
        <w:pStyle w:val="4"/>
        <w:keepNext/>
      </w:pPr>
      <w:r>
        <w:t>5.2 原始文件完整性</w:t>
      </w:r>
    </w:p>
    <w:tbl>
      <w:tblPr>
        <w:tblStyle w:val="32"/>
        <w:tblW w:w="9360" w:type="dxa"/>
        <w:tblInd w:w="120" w:type="dxa"/>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Layout w:type="fixed"/>
        <w:tblCellMar>
          <w:top w:w="0" w:type="dxa"/>
          <w:left w:w="108" w:type="dxa"/>
          <w:bottom w:w="0" w:type="dxa"/>
          <w:right w:w="108" w:type="dxa"/>
        </w:tblCellMar>
      </w:tblPr>
      <w:tblGrid>
        <w:gridCol w:w="1500"/>
        <w:gridCol w:w="3000"/>
        <w:gridCol w:w="4860"/>
      </w:tblGrid>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blHeader/>
        </w:trPr>
        <w:tc>
          <w:tcPr>
            <w:tcW w:w="15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文件类型</w:t>
            </w:r>
          </w:p>
        </w:tc>
        <w:tc>
          <w:tcPr>
            <w:tcW w:w="30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文件名</w:t>
            </w:r>
          </w:p>
        </w:tc>
        <w:tc>
          <w:tcPr>
            <w:tcW w:w="486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SHA-256</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6"/>
              </w:rPr>
              <w:t>GP/OMM快照</w:t>
            </w:r>
          </w:p>
        </w:tc>
        <w:tc>
          <w:tcPr>
            <w:tcW w:w="30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6"/>
              </w:rPr>
              <w:t>celestrak_fy1c_gp_snapshot.json</w:t>
            </w:r>
          </w:p>
        </w:tc>
        <w:tc>
          <w:tcPr>
            <w:tcW w:w="48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6"/>
              </w:rPr>
              <w:t>B36CEEB9AFC492717BAE22527F8235AF92D187C6B1B321BC6BA1577B95AC6262</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6"/>
              </w:rPr>
              <w:t>SATCAT快照</w:t>
            </w:r>
          </w:p>
        </w:tc>
        <w:tc>
          <w:tcPr>
            <w:tcW w:w="30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6"/>
              </w:rPr>
              <w:t>celestrak_fy1c_satcat_snapshot.json</w:t>
            </w:r>
          </w:p>
        </w:tc>
        <w:tc>
          <w:tcPr>
            <w:tcW w:w="48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6"/>
              </w:rPr>
              <w:t>E5E1AB3B976D2B4007F3E9361AC18D89185D50F966081A2761C0DE171E58CC95</w:t>
            </w:r>
          </w:p>
        </w:tc>
      </w:tr>
    </w:tbl>
    <w:p>
      <w:pPr>
        <w:spacing w:after="0"/>
      </w:pPr>
    </w:p>
    <w:p>
      <w:pPr>
        <w:pStyle w:val="164"/>
      </w:pPr>
      <w:r>
        <w:t>哈希用于证明当前保存文件后续未被修改；若要进一步证明历史轨道真实性，应以相同历元的Space-Track或CelesTrak历史GP数据进行交叉核验。</w:t>
      </w:r>
    </w:p>
    <w:p>
      <w:pPr>
        <w:pStyle w:val="4"/>
        <w:keepNext/>
      </w:pPr>
      <w:r>
        <w:t>5.3 模型边界</w:t>
      </w:r>
    </w:p>
    <w:tbl>
      <w:tblPr>
        <w:tblStyle w:val="32"/>
        <w:tblW w:w="9360" w:type="dxa"/>
        <w:tblInd w:w="120" w:type="dxa"/>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Layout w:type="fixed"/>
        <w:tblCellMar>
          <w:top w:w="0" w:type="dxa"/>
          <w:left w:w="108" w:type="dxa"/>
          <w:bottom w:w="0" w:type="dxa"/>
          <w:right w:w="108" w:type="dxa"/>
        </w:tblCellMar>
      </w:tblPr>
      <w:tblGrid>
        <w:gridCol w:w="2000"/>
        <w:gridCol w:w="7360"/>
      </w:tblGrid>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blHeader/>
        </w:trPr>
        <w:tc>
          <w:tcPr>
            <w:tcW w:w="200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项目</w:t>
            </w:r>
          </w:p>
        </w:tc>
        <w:tc>
          <w:tcPr>
            <w:tcW w:w="7360" w:type="dxa"/>
            <w:shd w:val="clear" w:color="auto" w:fill="E8EEF5"/>
            <w:tcMar>
              <w:top w:w="80" w:type="dxa"/>
              <w:left w:w="120" w:type="dxa"/>
              <w:bottom w:w="80" w:type="dxa"/>
              <w:right w:w="120" w:type="dxa"/>
            </w:tcMar>
            <w:vAlign w:val="center"/>
          </w:tcPr>
          <w:p>
            <w:pPr>
              <w:keepLines/>
              <w:spacing w:before="0" w:after="0" w:line="259" w:lineRule="auto"/>
              <w:jc w:val="center"/>
            </w:pPr>
            <w:r>
              <w:rPr>
                <w:rFonts w:ascii="Calibri" w:hAnsi="Calibri" w:eastAsia="微软雅黑"/>
                <w:b/>
                <w:i w:val="0"/>
                <w:color w:val="0B2545"/>
                <w:sz w:val="18"/>
              </w:rPr>
              <w:t>说明</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20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尚未计入</w:t>
            </w:r>
          </w:p>
        </w:tc>
        <w:tc>
          <w:tcPr>
            <w:tcW w:w="73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精密轨道协方差、有限推力、照明通信窗口、地面测控、姿态翻滚、接触动力学、推进剂质量变化、故障恢复和再入地面风险。</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20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结果用途</w:t>
            </w:r>
          </w:p>
        </w:tc>
        <w:tc>
          <w:tcPr>
            <w:tcW w:w="73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适用于目标筛选、路线比较、抓取系统能力边界和方案阶段资源估算。</w:t>
            </w:r>
          </w:p>
        </w:tc>
      </w:tr>
      <w:tr>
        <w:tblPrEx>
          <w:tblBorders>
            <w:top w:val="single" w:color="B8C4CE" w:sz="6" w:space="0"/>
            <w:left w:val="single" w:color="B8C4CE" w:sz="6" w:space="0"/>
            <w:bottom w:val="single" w:color="B8C4CE" w:sz="6" w:space="0"/>
            <w:right w:val="single" w:color="B8C4CE" w:sz="6" w:space="0"/>
            <w:insideH w:val="single" w:color="B8C4CE" w:sz="6" w:space="0"/>
            <w:insideV w:val="single" w:color="B8C4CE" w:sz="6" w:space="0"/>
          </w:tblBorders>
          <w:tblCellMar>
            <w:top w:w="0" w:type="dxa"/>
            <w:left w:w="108" w:type="dxa"/>
            <w:bottom w:w="0" w:type="dxa"/>
            <w:right w:w="108" w:type="dxa"/>
          </w:tblCellMar>
        </w:tblPrEx>
        <w:trPr>
          <w:cantSplit/>
        </w:trPr>
        <w:tc>
          <w:tcPr>
            <w:tcW w:w="200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不得替代</w:t>
            </w:r>
          </w:p>
        </w:tc>
        <w:tc>
          <w:tcPr>
            <w:tcW w:w="7360" w:type="dxa"/>
            <w:tcMar>
              <w:top w:w="80" w:type="dxa"/>
              <w:left w:w="120" w:type="dxa"/>
              <w:bottom w:w="80" w:type="dxa"/>
              <w:right w:w="120" w:type="dxa"/>
            </w:tcMar>
            <w:vAlign w:val="center"/>
          </w:tcPr>
          <w:p>
            <w:pPr>
              <w:keepLines/>
              <w:spacing w:before="0" w:after="0" w:line="259" w:lineRule="auto"/>
              <w:jc w:val="left"/>
            </w:pPr>
            <w:r>
              <w:rPr>
                <w:rFonts w:ascii="Calibri" w:hAnsi="Calibri" w:eastAsia="微软雅黑"/>
                <w:b w:val="0"/>
                <w:i w:val="0"/>
                <w:color w:val="1F2937"/>
                <w:sz w:val="18"/>
              </w:rPr>
              <w:t>任务级精密定轨、制导导航控制设计、真实推进剂预算、结构接触仿真和安全审查。</w:t>
            </w:r>
          </w:p>
        </w:tc>
      </w:tr>
    </w:tbl>
    <w:p>
      <w:pPr>
        <w:spacing w:after="0"/>
      </w:pPr>
    </w:p>
    <w:p>
      <w:pPr>
        <w:pStyle w:val="3"/>
        <w:keepNext/>
      </w:pPr>
      <w:r>
        <w:t>参考资料</w:t>
      </w:r>
    </w:p>
    <w:p>
      <w:pPr>
        <w:spacing w:after="100"/>
        <w:ind w:left="259" w:hanging="259"/>
      </w:pPr>
      <w:r>
        <w:rPr>
          <w:rFonts w:ascii="Calibri" w:hAnsi="Calibri" w:eastAsia="微软雅黑"/>
          <w:sz w:val="19"/>
        </w:rPr>
        <w:t xml:space="preserve">[1] NASA Orbital Debris Program Office. History of On-Orbit Satellite Fragmentations: FENGYUN 1C event sheet. </w:t>
      </w:r>
      <w:r>
        <w:fldChar w:fldCharType="begin"/>
      </w:r>
      <w:r>
        <w:instrText xml:space="preserve"> HYPERLINK "https://www.orbitaldebris.jsc.nasa.gov/library/HOOSF_16e.pdf" \h </w:instrText>
      </w:r>
      <w:r>
        <w:fldChar w:fldCharType="separate"/>
      </w:r>
      <w:r>
        <w:rPr>
          <w:color w:val="2E74B5"/>
          <w:u w:val="single"/>
        </w:rPr>
        <w:t>https://www.orbitaldebris.jsc.nasa.gov/library/HOOSF_16e.pdf</w:t>
      </w:r>
      <w:r>
        <w:rPr>
          <w:color w:val="2E74B5"/>
          <w:u w:val="single"/>
        </w:rPr>
        <w:fldChar w:fldCharType="end"/>
      </w:r>
    </w:p>
    <w:p>
      <w:pPr>
        <w:spacing w:after="100"/>
        <w:ind w:left="259" w:hanging="259"/>
      </w:pPr>
      <w:r>
        <w:rPr>
          <w:rFonts w:ascii="Calibri" w:hAnsi="Calibri" w:eastAsia="微软雅黑"/>
          <w:sz w:val="19"/>
        </w:rPr>
        <w:t xml:space="preserve">[2] NASA NTRS. Characterization of the Catalog Fengyun-1C Fragments and Their Long-term Effect on the LEO Environment. </w:t>
      </w:r>
      <w:r>
        <w:fldChar w:fldCharType="begin"/>
      </w:r>
      <w:r>
        <w:instrText xml:space="preserve"> HYPERLINK "https://ntrs.nasa.gov/citations/20080012520" \h </w:instrText>
      </w:r>
      <w:r>
        <w:fldChar w:fldCharType="separate"/>
      </w:r>
      <w:r>
        <w:rPr>
          <w:color w:val="2E74B5"/>
          <w:u w:val="single"/>
        </w:rPr>
        <w:t>https://ntrs.nasa.gov/citations/20080012520</w:t>
      </w:r>
      <w:r>
        <w:rPr>
          <w:color w:val="2E74B5"/>
          <w:u w:val="single"/>
        </w:rPr>
        <w:fldChar w:fldCharType="end"/>
      </w:r>
    </w:p>
    <w:p>
      <w:pPr>
        <w:spacing w:after="100"/>
        <w:ind w:left="259" w:hanging="259"/>
      </w:pPr>
      <w:r>
        <w:rPr>
          <w:rFonts w:ascii="Calibri" w:hAnsi="Calibri" w:eastAsia="微软雅黑"/>
          <w:sz w:val="19"/>
        </w:rPr>
        <w:t xml:space="preserve">[3] ESA. Space Debris FAQ: deliberate satellite intercepts and the Fengyun-1C debris cloud. </w:t>
      </w:r>
      <w:r>
        <w:fldChar w:fldCharType="begin"/>
      </w:r>
      <w:r>
        <w:instrText xml:space="preserve"> HYPERLINK "https://www.esa.int/Space_Safety/Space_Debris/Space_Debris_FAQ_Frequently_asked_questions" \h </w:instrText>
      </w:r>
      <w:r>
        <w:fldChar w:fldCharType="separate"/>
      </w:r>
      <w:r>
        <w:rPr>
          <w:color w:val="2E74B5"/>
          <w:u w:val="single"/>
        </w:rPr>
        <w:t>https://www.esa.int/Space_Safety/Space_Debris/Space_Debris_FAQ_Frequently_asked_questions</w:t>
      </w:r>
      <w:r>
        <w:rPr>
          <w:color w:val="2E74B5"/>
          <w:u w:val="single"/>
        </w:rPr>
        <w:fldChar w:fldCharType="end"/>
      </w:r>
    </w:p>
    <w:p>
      <w:pPr>
        <w:spacing w:after="100"/>
        <w:ind w:left="259" w:hanging="259"/>
      </w:pPr>
      <w:r>
        <w:rPr>
          <w:rFonts w:ascii="Calibri" w:hAnsi="Calibri" w:eastAsia="微软雅黑"/>
          <w:sz w:val="19"/>
        </w:rPr>
        <w:t xml:space="preserve">[4] NASA Orbital Debris Quarterly News, Vol. 27 Issue 3. Major debris cloud contributions to LEO spatial density. </w:t>
      </w:r>
      <w:r>
        <w:fldChar w:fldCharType="begin"/>
      </w:r>
      <w:r>
        <w:instrText xml:space="preserve"> HYPERLINK "https://orbitaldebris.jsc.nasa.gov/quarterly-news/pdfs/ODQNv27i3.pdf" \h </w:instrText>
      </w:r>
      <w:r>
        <w:fldChar w:fldCharType="separate"/>
      </w:r>
      <w:r>
        <w:rPr>
          <w:color w:val="2E74B5"/>
          <w:u w:val="single"/>
        </w:rPr>
        <w:t>https://orbitaldebris.jsc.nasa.gov/quarterly-news/pdfs/ODQNv27i3.pdf</w:t>
      </w:r>
      <w:r>
        <w:rPr>
          <w:color w:val="2E74B5"/>
          <w:u w:val="single"/>
        </w:rPr>
        <w:fldChar w:fldCharType="end"/>
      </w:r>
    </w:p>
    <w:p>
      <w:pPr>
        <w:spacing w:after="100"/>
        <w:ind w:left="259" w:hanging="259"/>
      </w:pPr>
      <w:r>
        <w:rPr>
          <w:rFonts w:ascii="Calibri" w:hAnsi="Calibri" w:eastAsia="微软雅黑"/>
          <w:sz w:val="19"/>
        </w:rPr>
        <w:t xml:space="preserve">[5] CelesTrak. GP/OMM data formats and query documentation. </w:t>
      </w:r>
      <w:r>
        <w:fldChar w:fldCharType="begin"/>
      </w:r>
      <w:r>
        <w:instrText xml:space="preserve"> HYPERLINK "https://celestrak.org/NORAD/documentation/gp-data-formats.php" \h </w:instrText>
      </w:r>
      <w:r>
        <w:fldChar w:fldCharType="separate"/>
      </w:r>
      <w:r>
        <w:rPr>
          <w:color w:val="2E74B5"/>
          <w:u w:val="single"/>
        </w:rPr>
        <w:t>https://celestrak.org/NORAD/documentation/gp-data-formats.php</w:t>
      </w:r>
      <w:r>
        <w:rPr>
          <w:color w:val="2E74B5"/>
          <w:u w:val="single"/>
        </w:rPr>
        <w:fldChar w:fldCharType="end"/>
      </w:r>
    </w:p>
    <w:p>
      <w:pPr>
        <w:spacing w:after="100"/>
        <w:ind w:left="259" w:hanging="259"/>
      </w:pPr>
      <w:r>
        <w:rPr>
          <w:rFonts w:ascii="Calibri" w:hAnsi="Calibri" w:eastAsia="微软雅黑"/>
          <w:sz w:val="19"/>
        </w:rPr>
        <w:t xml:space="preserve">[6] CelesTrak. SATCAT format documentation. </w:t>
      </w:r>
      <w:r>
        <w:fldChar w:fldCharType="begin"/>
      </w:r>
      <w:r>
        <w:instrText xml:space="preserve"> HYPERLINK "https://celestrak.org/satcat/satcat-format.php" \h </w:instrText>
      </w:r>
      <w:r>
        <w:fldChar w:fldCharType="separate"/>
      </w:r>
      <w:r>
        <w:rPr>
          <w:color w:val="2E74B5"/>
          <w:u w:val="single"/>
        </w:rPr>
        <w:t>https://celestrak.org/satcat/satcat-format.php</w:t>
      </w:r>
      <w:r>
        <w:rPr>
          <w:color w:val="2E74B5"/>
          <w:u w:val="single"/>
        </w:rPr>
        <w:fldChar w:fldCharType="end"/>
      </w:r>
    </w:p>
    <w:p>
      <w:pPr>
        <w:spacing w:after="100"/>
        <w:ind w:left="259" w:hanging="259"/>
      </w:pPr>
      <w:r>
        <w:rPr>
          <w:rFonts w:ascii="Calibri" w:hAnsi="Calibri" w:eastAsia="微软雅黑"/>
          <w:sz w:val="19"/>
        </w:rPr>
        <w:t xml:space="preserve">[7] NASA Orbital Debris Program Office. Debris Remediation. </w:t>
      </w:r>
      <w:r>
        <w:fldChar w:fldCharType="begin"/>
      </w:r>
      <w:r>
        <w:instrText xml:space="preserve"> HYPERLINK "https://orbitaldebris.jsc.nasa.gov/remediation/" \h </w:instrText>
      </w:r>
      <w:r>
        <w:fldChar w:fldCharType="separate"/>
      </w:r>
      <w:r>
        <w:rPr>
          <w:color w:val="2E74B5"/>
          <w:u w:val="single"/>
        </w:rPr>
        <w:t>https://orbitaldebris.jsc.nasa.gov/remediation/</w:t>
      </w:r>
      <w:r>
        <w:rPr>
          <w:color w:val="2E74B5"/>
          <w:u w:val="single"/>
        </w:rPr>
        <w:fldChar w:fldCharType="end"/>
      </w:r>
    </w:p>
    <w:p>
      <w:pPr>
        <w:spacing w:after="100"/>
        <w:ind w:left="259" w:hanging="259"/>
      </w:pPr>
      <w:r>
        <w:rPr>
          <w:rFonts w:ascii="Calibri" w:hAnsi="Calibri" w:eastAsia="微软雅黑"/>
          <w:sz w:val="19"/>
        </w:rPr>
        <w:t>[8] CelesTrak GP/OMM本地冻结快照：public_debris_calculation/celestrak_fy1c_gp_snapshot.json；获取时间2026-09-02 06:39:51 UTC。</w:t>
      </w:r>
    </w:p>
    <w:p>
      <w:pPr>
        <w:spacing w:after="100"/>
        <w:ind w:left="259" w:hanging="259"/>
      </w:pPr>
      <w:r>
        <w:rPr>
          <w:rFonts w:ascii="Calibri" w:hAnsi="Calibri" w:eastAsia="微软雅黑"/>
          <w:sz w:val="19"/>
        </w:rPr>
        <w:t>[9] CelesTrak SATCAT本地冻结快照：public_debris_calculation/celestrak_fy1c_satcat_snapshot.json；获取时间2026-09-02 06:39:51 UTC。</w:t>
      </w:r>
    </w:p>
    <w:p>
      <w:pPr>
        <w:spacing w:after="100"/>
        <w:ind w:left="259" w:hanging="259"/>
      </w:pPr>
      <w:r>
        <w:rPr>
          <w:rFonts w:ascii="Calibri" w:hAnsi="Calibri" w:eastAsia="微软雅黑"/>
          <w:sz w:val="19"/>
        </w:rPr>
        <w:t>[10] 本地计算结果与程序：public_debris_calculation/screening_result.json；public_debris_mission_calc.py。</w:t>
      </w:r>
    </w:p>
    <w:p>
      <w:pPr>
        <w:spacing w:after="100"/>
        <w:ind w:left="259" w:hanging="259"/>
      </w:pPr>
      <w:r>
        <w:rPr>
          <w:rFonts w:ascii="Calibri" w:hAnsi="Calibri" w:eastAsia="微软雅黑"/>
          <w:sz w:val="19"/>
        </w:rPr>
        <w:t>[11] IADC Space Debris Mitigation Guidelines, Revision 4，以及用户提供的中文版材料。</w:t>
      </w:r>
    </w:p>
    <w:p>
      <w:pPr>
        <w:spacing w:after="100"/>
        <w:ind w:left="259" w:hanging="259"/>
      </w:pPr>
      <w:r>
        <w:rPr>
          <w:rFonts w:ascii="Calibri" w:hAnsi="Calibri" w:eastAsia="微软雅黑"/>
          <w:sz w:val="19"/>
        </w:rPr>
        <w:t>[12] United Nations COPUOS Space Debris Mitigation Guidelines，以及用户提供的中文版材料。</w:t>
      </w:r>
    </w:p>
    <w:sectPr>
      <w:headerReference r:id="rId5" w:type="default"/>
      <w:footerReference r:id="rId6" w:type="default"/>
      <w:pgSz w:w="12240" w:h="15840"/>
      <w:pgMar w:top="1440" w:right="1440" w:bottom="1440" w:left="1440" w:header="708" w:footer="708"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pPr>
    <w:r>
      <w:rPr>
        <w:rFonts w:ascii="Calibri" w:hAnsi="Calibri" w:eastAsia="微软雅黑"/>
        <w:color w:val="5B6573"/>
        <w:sz w:val="17"/>
      </w:rPr>
      <w:t xml:space="preserve">第 </w:t>
    </w:r>
    <w:r>
      <w:rPr>
        <w:rFonts w:ascii="Calibri" w:hAnsi="Calibri" w:eastAsia="微软雅黑"/>
        <w:color w:val="5B6573"/>
        <w:sz w:val="17"/>
      </w:rPr>
      <w:fldChar w:fldCharType="begin"/>
    </w:r>
    <w:r>
      <w:rPr>
        <w:rFonts w:ascii="Calibri" w:hAnsi="Calibri" w:eastAsia="微软雅黑"/>
        <w:color w:val="5B6573"/>
        <w:sz w:val="17"/>
      </w:rPr>
      <w:instrText xml:space="preserve"> PAGE </w:instrText>
    </w:r>
    <w:r>
      <w:rPr>
        <w:rFonts w:ascii="Calibri" w:hAnsi="Calibri" w:eastAsia="微软雅黑"/>
        <w:color w:val="5B6573"/>
        <w:sz w:val="17"/>
      </w:rPr>
      <w:fldChar w:fldCharType="separate"/>
    </w:r>
    <w:r>
      <w:rPr>
        <w:rFonts w:ascii="Calibri" w:hAnsi="Calibri" w:eastAsia="微软雅黑"/>
        <w:color w:val="5B6573"/>
        <w:sz w:val="17"/>
      </w:rPr>
      <w:t>1</w:t>
    </w:r>
    <w:r>
      <w:rPr>
        <w:rFonts w:ascii="Calibri" w:hAnsi="Calibri" w:eastAsia="微软雅黑"/>
        <w:color w:val="5B6573"/>
        <w:sz w:val="17"/>
      </w:rPr>
      <w:fldChar w:fldCharType="end"/>
    </w:r>
    <w:r>
      <w:rPr>
        <w:rFonts w:ascii="Calibri" w:hAnsi="Calibri" w:eastAsia="微软雅黑"/>
        <w:color w:val="5B6573"/>
        <w:sz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single" w:color="D7DBE2" w:sz="8" w:space="8"/>
      </w:pBdr>
      <w:jc w:val="left"/>
    </w:pPr>
    <w:r>
      <w:rPr>
        <w:rFonts w:ascii="Calibri" w:hAnsi="Calibri" w:eastAsia="微软雅黑"/>
        <w:color w:val="5B6573"/>
        <w:sz w:val="17"/>
      </w:rPr>
      <w:t>风云一号C碎片典型清理任务说明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A43A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300" w:lineRule="auto"/>
    </w:pPr>
    <w:rPr>
      <w:rFonts w:ascii="Calibri" w:hAnsi="Calibri" w:eastAsia="微软雅黑" w:cstheme="minorBidi"/>
      <w:color w:val="1F2937"/>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before="80" w:after="160" w:line="240" w:lineRule="auto"/>
      <w:jc w:val="center"/>
    </w:pPr>
    <w:rPr>
      <w:rFonts w:ascii="Calibri" w:hAnsi="Calibri" w:eastAsia="微软雅黑"/>
      <w:b/>
      <w:bCs/>
      <w:color w:val="5B6573"/>
      <w:sz w:val="19"/>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Source Note"/>
    <w:qFormat/>
    <w:uiPriority w:val="0"/>
    <w:pPr>
      <w:spacing w:before="80" w:after="80" w:line="264" w:lineRule="auto"/>
    </w:pPr>
    <w:rPr>
      <w:rFonts w:ascii="Calibri" w:hAnsi="Calibri" w:eastAsia="微软雅黑" w:cstheme="minorBidi"/>
      <w:color w:val="5B6573"/>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Office_11.1.0.10526_F1E327BC-269C-435d-A152-05C5408002CA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User</dc:creator>
  <dc:description>generated by python-docx</dc:description>
  <cp:keywords>空间碎片, 风云一号C, 主动清理, SGP4, CelesTrak</cp:keywords>
  <cp:lastModifiedBy>倪昊跃</cp:lastModifiedBy>
  <dcterms:modified xsi:type="dcterms:W3CDTF">2026-09-02T19:02:55Z</dcterms:modified>
  <dc:subject>清理背景、选择原因、清理过程与相关指标</dc:subject>
  <dc:title>风云一号C约10 cm碎片典型多目标清理任务说明</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2052-11.1.0.10526</vt:lpwstr>
  </property>
  <property fmtid="{D5CDD505-2E9C-101B-9397-08002B2CF9AE}" pid="3" name="ICV">
    <vt:lpwstr>A85040698891458ABC7B09AD5DF355E8</vt:lpwstr>
  </property>
</Properties>
</file>