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AA59" w14:textId="77777777" w:rsidR="00936794" w:rsidRPr="00936794" w:rsidRDefault="00936794" w:rsidP="00936794">
      <w:pPr>
        <w:pStyle w:val="BasicParagraph"/>
        <w:rPr>
          <w:rFonts w:ascii="Tahoma" w:hAnsi="Tahoma" w:cs="Tahoma"/>
          <w:b/>
          <w:bCs/>
          <w:color w:val="1F4E79" w:themeColor="accent1" w:themeShade="80"/>
          <w:sz w:val="36"/>
          <w:szCs w:val="36"/>
        </w:rPr>
      </w:pPr>
      <w:r w:rsidRPr="00936794">
        <w:rPr>
          <w:rFonts w:ascii="Tahoma" w:hAnsi="Tahoma" w:cs="Tahoma"/>
          <w:b/>
          <w:bCs/>
          <w:color w:val="1F4E79" w:themeColor="accent1" w:themeShade="80"/>
          <w:sz w:val="36"/>
          <w:szCs w:val="36"/>
        </w:rPr>
        <w:t>Connecticut Greenhouse Gas Emissions Inventory</w:t>
      </w:r>
    </w:p>
    <w:p w14:paraId="147BE13E"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This summary provides an overview of the state’s greenhouse gas (GHG) emissions from 1990 to 201</w:t>
      </w:r>
      <w:r w:rsidR="00AF27EE">
        <w:rPr>
          <w:rFonts w:ascii="Corbel" w:hAnsi="Corbel" w:cs="Corbel"/>
          <w:color w:val="686868"/>
          <w:spacing w:val="5"/>
        </w:rPr>
        <w:t>5</w:t>
      </w:r>
      <w:r>
        <w:rPr>
          <w:rFonts w:ascii="Corbel" w:hAnsi="Corbel" w:cs="Corbel"/>
          <w:color w:val="686868"/>
          <w:spacing w:val="5"/>
        </w:rPr>
        <w:t>, the most recent year for which full data are available.</w:t>
      </w:r>
      <w:r>
        <w:rPr>
          <w:rStyle w:val="endnotemarker"/>
          <w:rFonts w:ascii="Corbel" w:hAnsi="Corbel" w:cs="Corbel"/>
          <w:color w:val="686868"/>
          <w:spacing w:val="5"/>
        </w:rPr>
        <w:footnoteReference w:id="1"/>
      </w:r>
      <w:r>
        <w:rPr>
          <w:rFonts w:ascii="Corbel" w:hAnsi="Corbel" w:cs="Corbel"/>
          <w:color w:val="686868"/>
          <w:spacing w:val="5"/>
        </w:rPr>
        <w:t xml:space="preserve"> The statewide GHG emission inventory is an important tool for tracking Connecticut’s progress toward the goals set by the Global Warming Solutions Act of 2008. This law set targets of reducing GHG emissions 10 percent below 1990 levels by 2020 and 80 percent below 2001 levels by 2050. </w:t>
      </w:r>
    </w:p>
    <w:p w14:paraId="6F7CB0E2" w14:textId="77777777" w:rsidR="00936794" w:rsidRDefault="00936794" w:rsidP="00936794">
      <w:pPr>
        <w:pStyle w:val="BasicParagraph"/>
        <w:spacing w:before="200" w:line="312" w:lineRule="auto"/>
        <w:rPr>
          <w:rFonts w:ascii="Corbel" w:hAnsi="Corbel" w:cs="Corbel"/>
          <w:color w:val="686868"/>
          <w:spacing w:val="5"/>
        </w:rPr>
      </w:pPr>
      <w:r>
        <w:rPr>
          <w:rFonts w:ascii="Tahoma" w:hAnsi="Tahoma" w:cs="Tahoma"/>
          <w:b/>
          <w:bCs/>
          <w:color w:val="686868"/>
        </w:rPr>
        <w:t>Inventory Methodology</w:t>
      </w:r>
    </w:p>
    <w:p w14:paraId="1D9AB222"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A federal standard for economy-wide GHG accounting does not currently exist. In the absence of a federal standard, Connecticut DEEP is committed to continuous improvement of its accounting methodology. This includes identifying improvements in both the quality of data and methods utilized to calculate annual GHG emissions. </w:t>
      </w:r>
    </w:p>
    <w:p w14:paraId="52B088B5"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Like several states across the country that regularly perform economy-wide GHG inventories, Connecticut relies heavily on the U.S. Environmental Protection Agency’s State Inventory Tool (SIT). The tool calculates sector-by-sector GHG emissions based on numerous state-level data sets (e.g., number of gallons of fuel oil sold in CT), including energy-related data provided by the Energy Information Administration. EPA recommends that states employ their own data when these are likely to be more reliable than the tool’s default figures. CT’s inventory uses SIT default data, with three exceptions. First, beginning with the 2013 inventory, CT has drawn on solid-waste data collected by the Department of Energy and Environmental Protection’s municipal waste program. Second, because SIT data on land use, land use change, and forestry appear unreliable, they have not been included in the state’s recent inventories. The state aims to develop an alternative means to estimate GHG impacts of land use and forestry for use in preparing future inventories. Third, this analysis continues to present both a consumption and generation based accounting approach for the electricity sector from 1990 to 201</w:t>
      </w:r>
      <w:r w:rsidR="00AF27EE">
        <w:rPr>
          <w:rFonts w:ascii="Corbel" w:hAnsi="Corbel" w:cs="Corbel"/>
          <w:color w:val="686868"/>
          <w:spacing w:val="5"/>
        </w:rPr>
        <w:t>5</w:t>
      </w:r>
      <w:r>
        <w:rPr>
          <w:rFonts w:ascii="Corbel" w:hAnsi="Corbel" w:cs="Corbel"/>
          <w:color w:val="686868"/>
          <w:spacing w:val="5"/>
        </w:rPr>
        <w:t xml:space="preserve">. </w:t>
      </w:r>
    </w:p>
    <w:p w14:paraId="59797719"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Based on best practices among states reporting state-wide GHG emissions, and reflecting the regional nature of the electric grid, the consumption-based accounting for the electric </w:t>
      </w:r>
      <w:r>
        <w:rPr>
          <w:rFonts w:ascii="Corbel" w:hAnsi="Corbel" w:cs="Corbel"/>
          <w:color w:val="686868"/>
          <w:spacing w:val="5"/>
        </w:rPr>
        <w:lastRenderedPageBreak/>
        <w:t>power sector was first applied in the 2013 inventory analysis. In prior GHG inventories, emissions from the electric power sector had been based entirely on direct emissions from the generation of electricity by power plants operating within the state. A consumption-based approach calculates emissions based on Connecticut’s share of electricity consumption in New England, using the emissions profile of the regional electric grid’s generation fuel mix</w:t>
      </w:r>
      <w:commentRangeStart w:id="0"/>
      <w:r>
        <w:rPr>
          <w:rFonts w:ascii="Corbel" w:hAnsi="Corbel" w:cs="Corbel"/>
          <w:color w:val="686868"/>
          <w:spacing w:val="5"/>
        </w:rPr>
        <w:t>.</w:t>
      </w:r>
      <w:r>
        <w:rPr>
          <w:rStyle w:val="endnotemarker"/>
          <w:rFonts w:ascii="Corbel" w:hAnsi="Corbel" w:cs="Corbel"/>
          <w:color w:val="686868"/>
          <w:spacing w:val="5"/>
        </w:rPr>
        <w:footnoteReference w:id="2"/>
      </w:r>
      <w:commentRangeEnd w:id="0"/>
      <w:r w:rsidR="00F36BE3">
        <w:rPr>
          <w:rStyle w:val="CommentReference"/>
          <w:rFonts w:asciiTheme="minorHAnsi" w:hAnsiTheme="minorHAnsi" w:cstheme="minorBidi"/>
          <w:color w:val="auto"/>
        </w:rPr>
        <w:commentReference w:id="0"/>
      </w:r>
      <w:r>
        <w:rPr>
          <w:rFonts w:ascii="Corbel" w:hAnsi="Corbel" w:cs="Corbel"/>
          <w:color w:val="686868"/>
          <w:spacing w:val="5"/>
        </w:rPr>
        <w:t xml:space="preserve"> </w:t>
      </w:r>
    </w:p>
    <w:p w14:paraId="5F47787C" w14:textId="77777777" w:rsidR="00AF27EE" w:rsidRDefault="00AF27EE" w:rsidP="00AF27EE">
      <w:pPr>
        <w:pStyle w:val="BasicParagraph"/>
        <w:spacing w:before="200" w:line="312" w:lineRule="auto"/>
        <w:jc w:val="both"/>
        <w:rPr>
          <w:rFonts w:ascii="Corbel" w:hAnsi="Corbel" w:cs="Corbel"/>
          <w:color w:val="686868"/>
          <w:spacing w:val="5"/>
        </w:rPr>
      </w:pPr>
      <w:r>
        <w:rPr>
          <w:rFonts w:ascii="Tahoma" w:hAnsi="Tahoma" w:cs="Tahoma"/>
          <w:b/>
          <w:bCs/>
          <w:color w:val="686868"/>
        </w:rPr>
        <w:t>2015 GHG Emissions</w:t>
      </w:r>
    </w:p>
    <w:p w14:paraId="53E622AF" w14:textId="7F4894F2" w:rsidR="00AF27EE" w:rsidRDefault="00AF27EE" w:rsidP="00AF27EE">
      <w:pPr>
        <w:pStyle w:val="BasicParagraph"/>
        <w:spacing w:before="120" w:line="312" w:lineRule="auto"/>
        <w:jc w:val="both"/>
        <w:rPr>
          <w:rFonts w:ascii="Corbel" w:hAnsi="Corbel" w:cs="Corbel"/>
          <w:color w:val="686868"/>
          <w:spacing w:val="5"/>
        </w:rPr>
      </w:pPr>
      <w:r>
        <w:rPr>
          <w:rFonts w:ascii="Corbel" w:hAnsi="Corbel" w:cs="Corbel"/>
          <w:color w:val="686868"/>
          <w:spacing w:val="5"/>
        </w:rPr>
        <w:t>Using the consumption-based accounting approach for electricity, Connecticut’s economy-wide GHG emissions in 2015 were 4</w:t>
      </w:r>
      <w:r w:rsidR="008C49B7">
        <w:rPr>
          <w:rFonts w:ascii="Corbel" w:hAnsi="Corbel" w:cs="Corbel"/>
          <w:color w:val="686868"/>
          <w:spacing w:val="5"/>
        </w:rPr>
        <w:t>4</w:t>
      </w:r>
      <w:r w:rsidR="000A772B">
        <w:rPr>
          <w:rFonts w:ascii="Corbel" w:hAnsi="Corbel" w:cs="Corbel"/>
          <w:color w:val="686868"/>
          <w:spacing w:val="5"/>
        </w:rPr>
        <w:t>.5</w:t>
      </w:r>
      <w:r>
        <w:rPr>
          <w:rFonts w:ascii="Corbel" w:hAnsi="Corbel" w:cs="Corbel"/>
          <w:color w:val="686868"/>
          <w:spacing w:val="5"/>
        </w:rPr>
        <w:t xml:space="preserve"> million metric tons (MMT) of carbon dioxide equivalent (CO2e), </w:t>
      </w:r>
      <w:r w:rsidR="00B91CE4">
        <w:rPr>
          <w:rFonts w:ascii="Corbel" w:hAnsi="Corbel" w:cs="Corbel"/>
          <w:color w:val="686868"/>
          <w:spacing w:val="5"/>
        </w:rPr>
        <w:t>10.9</w:t>
      </w:r>
      <w:r>
        <w:rPr>
          <w:rFonts w:ascii="Corbel" w:hAnsi="Corbel" w:cs="Corbel"/>
          <w:color w:val="686868"/>
          <w:spacing w:val="5"/>
        </w:rPr>
        <w:t xml:space="preserve"> percent below 2001 levels.</w:t>
      </w:r>
      <w:r>
        <w:rPr>
          <w:rStyle w:val="endnotemarker"/>
          <w:rFonts w:ascii="Corbel" w:hAnsi="Corbel" w:cs="Corbel"/>
          <w:color w:val="686868"/>
          <w:spacing w:val="5"/>
        </w:rPr>
        <w:footnoteReference w:id="3"/>
      </w:r>
      <w:r>
        <w:rPr>
          <w:rFonts w:ascii="Corbel" w:hAnsi="Corbel" w:cs="Corbel"/>
          <w:color w:val="686868"/>
          <w:spacing w:val="5"/>
        </w:rPr>
        <w:t xml:space="preserve"> In comparison, emissions using the generation-based accounting approach were 43</w:t>
      </w:r>
      <w:r w:rsidR="000A772B">
        <w:rPr>
          <w:rFonts w:ascii="Corbel" w:hAnsi="Corbel" w:cs="Corbel"/>
          <w:color w:val="686868"/>
          <w:spacing w:val="5"/>
        </w:rPr>
        <w:t>.4</w:t>
      </w:r>
      <w:r>
        <w:rPr>
          <w:rFonts w:ascii="Corbel" w:hAnsi="Corbel" w:cs="Corbel"/>
          <w:color w:val="686868"/>
          <w:spacing w:val="5"/>
        </w:rPr>
        <w:t xml:space="preserve"> MMT CO2e, </w:t>
      </w:r>
      <w:r w:rsidR="00B91CE4">
        <w:rPr>
          <w:rFonts w:ascii="Corbel" w:hAnsi="Corbel" w:cs="Corbel"/>
          <w:color w:val="686868"/>
          <w:spacing w:val="5"/>
        </w:rPr>
        <w:t>11.6</w:t>
      </w:r>
      <w:r>
        <w:rPr>
          <w:rFonts w:ascii="Corbel" w:hAnsi="Corbel" w:cs="Corbel"/>
          <w:color w:val="686868"/>
          <w:spacing w:val="5"/>
        </w:rPr>
        <w:t xml:space="preserve"> percent below 2001 levels. </w:t>
      </w:r>
    </w:p>
    <w:p w14:paraId="173D1605" w14:textId="77777777" w:rsidR="00D11F97" w:rsidRPr="00395194" w:rsidRDefault="00D11F97" w:rsidP="00D11F97">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The transportation sector continues to be the single largest source of emissions in the state, contributing 35 percent, principally from the use of fossil fuels in passenger cars and light trucks. These emissions have remained mostly stagnant since 1990, dropping by only 1</w:t>
      </w:r>
      <w:r>
        <w:rPr>
          <w:rFonts w:ascii="Corbel" w:hAnsi="Corbel" w:cs="Corbel"/>
          <w:color w:val="595959" w:themeColor="text1" w:themeTint="A6"/>
          <w:spacing w:val="5"/>
        </w:rPr>
        <w:t>.5</w:t>
      </w:r>
      <w:r w:rsidRPr="00395194">
        <w:rPr>
          <w:rFonts w:ascii="Corbel" w:hAnsi="Corbel" w:cs="Corbel"/>
          <w:color w:val="595959" w:themeColor="text1" w:themeTint="A6"/>
          <w:spacing w:val="5"/>
        </w:rPr>
        <w:t xml:space="preserve"> percent. Although national fuel economy standards have improved vehicle efficiency, the number of vehicle miles driven in Connecticut have increased, which is likely the contributing factor for not attaining greater emissions reductions in the transportation sector.</w:t>
      </w:r>
      <w:r w:rsidRPr="00395194">
        <w:rPr>
          <w:rStyle w:val="endnotemarker"/>
          <w:rFonts w:ascii="Corbel" w:hAnsi="Corbel" w:cs="Corbel"/>
          <w:color w:val="595959" w:themeColor="text1" w:themeTint="A6"/>
          <w:spacing w:val="5"/>
        </w:rPr>
        <w:footnoteReference w:id="4"/>
      </w:r>
      <w:r w:rsidRPr="00395194">
        <w:rPr>
          <w:rStyle w:val="endnotemarker"/>
          <w:rFonts w:ascii="Corbel" w:hAnsi="Corbel" w:cs="Corbel"/>
          <w:color w:val="595959" w:themeColor="text1" w:themeTint="A6"/>
          <w:spacing w:val="5"/>
        </w:rPr>
        <w:footnoteReference w:id="5"/>
      </w:r>
      <w:r w:rsidRPr="00395194">
        <w:rPr>
          <w:rFonts w:ascii="Corbel" w:hAnsi="Corbel" w:cs="Corbel"/>
          <w:color w:val="595959" w:themeColor="text1" w:themeTint="A6"/>
          <w:spacing w:val="5"/>
        </w:rPr>
        <w:t xml:space="preserve"> Significantly reducing transportation emissions in the coming decades will require continued improvements in vehicle fuel economy for all class sizes, increased deployment </w:t>
      </w:r>
      <w:r w:rsidRPr="00395194">
        <w:rPr>
          <w:rFonts w:ascii="Corbel" w:hAnsi="Corbel" w:cs="Corbel"/>
          <w:color w:val="595959" w:themeColor="text1" w:themeTint="A6"/>
          <w:spacing w:val="5"/>
        </w:rPr>
        <w:lastRenderedPageBreak/>
        <w:t xml:space="preserve">of zero-emission vehicles, and through the utilization of strategies that reduce vehicle miles traveled. </w:t>
      </w:r>
    </w:p>
    <w:p w14:paraId="43CD295C" w14:textId="1E86FFCD" w:rsidR="00EE0774" w:rsidRPr="00395194" w:rsidRDefault="00EE0774"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Connecticut’s largest reduction since 1990 has occurred in the electric power sector —</w:t>
      </w:r>
      <w:r w:rsidR="008C49B7">
        <w:rPr>
          <w:rFonts w:ascii="Corbel" w:hAnsi="Corbel" w:cs="Corbel"/>
          <w:color w:val="595959" w:themeColor="text1" w:themeTint="A6"/>
          <w:spacing w:val="5"/>
        </w:rPr>
        <w:t>1</w:t>
      </w:r>
      <w:r w:rsidR="000A772B">
        <w:rPr>
          <w:rFonts w:ascii="Corbel" w:hAnsi="Corbel" w:cs="Corbel"/>
          <w:color w:val="595959" w:themeColor="text1" w:themeTint="A6"/>
          <w:spacing w:val="5"/>
        </w:rPr>
        <w:t>4.5</w:t>
      </w:r>
      <w:r w:rsidRPr="00395194">
        <w:rPr>
          <w:rFonts w:ascii="Corbel" w:hAnsi="Corbel" w:cs="Corbel"/>
          <w:color w:val="595959" w:themeColor="text1" w:themeTint="A6"/>
          <w:spacing w:val="5"/>
        </w:rPr>
        <w:t xml:space="preserve"> percent under consumption-based accounting and </w:t>
      </w:r>
      <w:r w:rsidR="006670B9" w:rsidRPr="00395194">
        <w:rPr>
          <w:rFonts w:ascii="Corbel" w:hAnsi="Corbel" w:cs="Corbel"/>
          <w:color w:val="595959" w:themeColor="text1" w:themeTint="A6"/>
          <w:spacing w:val="5"/>
        </w:rPr>
        <w:t>25</w:t>
      </w:r>
      <w:r w:rsidR="00B91CE4">
        <w:rPr>
          <w:rFonts w:ascii="Corbel" w:hAnsi="Corbel" w:cs="Corbel"/>
          <w:color w:val="595959" w:themeColor="text1" w:themeTint="A6"/>
          <w:spacing w:val="5"/>
        </w:rPr>
        <w:t>.4</w:t>
      </w:r>
      <w:r w:rsidRPr="00395194">
        <w:rPr>
          <w:rFonts w:ascii="Corbel" w:hAnsi="Corbel" w:cs="Corbel"/>
          <w:color w:val="595959" w:themeColor="text1" w:themeTint="A6"/>
          <w:spacing w:val="5"/>
        </w:rPr>
        <w:t xml:space="preserve"> percent under generation-based accounting. This reduction correlates with state and regional policies and programs that encourage investment in energy efficiency in homes and businesses, a shift from dirtier fossil fuels such as coil and oil to natural gas, and increased deployment of renewable energy sources. </w:t>
      </w:r>
    </w:p>
    <w:p w14:paraId="568FF9F7" w14:textId="77354873" w:rsidR="008A2F1F" w:rsidRPr="00395194" w:rsidRDefault="008A2F1F"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Additional emissions reductions in this sector will come from further reducing reliance on oil and coal during periods of peak electricity demand, continu</w:t>
      </w:r>
      <w:r w:rsidR="002B761A">
        <w:rPr>
          <w:rFonts w:ascii="Corbel" w:hAnsi="Corbel" w:cs="Corbel"/>
          <w:color w:val="595959" w:themeColor="text1" w:themeTint="A6"/>
          <w:spacing w:val="5"/>
        </w:rPr>
        <w:t>al</w:t>
      </w:r>
      <w:r w:rsidRPr="00395194">
        <w:rPr>
          <w:rFonts w:ascii="Corbel" w:hAnsi="Corbel" w:cs="Corbel"/>
          <w:color w:val="595959" w:themeColor="text1" w:themeTint="A6"/>
          <w:spacing w:val="5"/>
        </w:rPr>
        <w:t xml:space="preserve"> expansion of renewable energy, and mainstreaming of energy efficiency in homes, businesses, and industry. </w:t>
      </w:r>
      <w:r w:rsidR="002B761A">
        <w:rPr>
          <w:rFonts w:ascii="Corbel" w:hAnsi="Corbel" w:cs="Corbel"/>
          <w:color w:val="595959" w:themeColor="text1" w:themeTint="A6"/>
          <w:spacing w:val="5"/>
        </w:rPr>
        <w:t xml:space="preserve"> Based upon our consumption accounting methodology, a reduction in emissions will also come from adjusting the Renewable Portfolio Standard to sources with less GHG emissions.</w:t>
      </w:r>
    </w:p>
    <w:p w14:paraId="3ECD7428" w14:textId="645D9CEF" w:rsidR="00AF27EE" w:rsidRPr="00395194" w:rsidRDefault="00AF27EE"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 xml:space="preserve">When compared to the previous year’s emissions, electricity consumption and generation rose by </w:t>
      </w:r>
      <w:r w:rsidR="000A772B">
        <w:rPr>
          <w:rFonts w:ascii="Corbel" w:hAnsi="Corbel" w:cs="Corbel"/>
          <w:color w:val="595959" w:themeColor="text1" w:themeTint="A6"/>
          <w:spacing w:val="5"/>
        </w:rPr>
        <w:t>7</w:t>
      </w:r>
      <w:r w:rsidRPr="00395194">
        <w:rPr>
          <w:rFonts w:ascii="Corbel" w:hAnsi="Corbel" w:cs="Corbel"/>
          <w:color w:val="595959" w:themeColor="text1" w:themeTint="A6"/>
          <w:spacing w:val="5"/>
        </w:rPr>
        <w:t xml:space="preserve"> and </w:t>
      </w:r>
      <w:r w:rsidR="008C49B7">
        <w:rPr>
          <w:rFonts w:ascii="Corbel" w:hAnsi="Corbel" w:cs="Corbel"/>
          <w:color w:val="595959" w:themeColor="text1" w:themeTint="A6"/>
          <w:spacing w:val="5"/>
        </w:rPr>
        <w:t>4</w:t>
      </w:r>
      <w:r w:rsidRPr="00395194">
        <w:rPr>
          <w:rFonts w:ascii="Corbel" w:hAnsi="Corbel" w:cs="Corbel"/>
          <w:color w:val="595959" w:themeColor="text1" w:themeTint="A6"/>
          <w:spacing w:val="5"/>
        </w:rPr>
        <w:t xml:space="preserve"> percent, respectively.  </w:t>
      </w:r>
      <w:r w:rsidR="00F5431E" w:rsidRPr="00395194">
        <w:rPr>
          <w:rFonts w:ascii="Corbel" w:hAnsi="Corbel" w:cs="Corbel"/>
          <w:color w:val="595959" w:themeColor="text1" w:themeTint="A6"/>
          <w:spacing w:val="5"/>
        </w:rPr>
        <w:t>As with the uptick in GHG emissions between 2013 and 2014, r</w:t>
      </w:r>
      <w:r w:rsidRPr="00395194">
        <w:rPr>
          <w:rFonts w:ascii="Corbel" w:hAnsi="Corbel" w:cs="Corbel"/>
          <w:color w:val="595959" w:themeColor="text1" w:themeTint="A6"/>
          <w:spacing w:val="5"/>
        </w:rPr>
        <w:t xml:space="preserve">easons for this increase in GHG emissions </w:t>
      </w:r>
      <w:r w:rsidR="00215914" w:rsidRPr="00395194">
        <w:rPr>
          <w:rFonts w:ascii="Corbel" w:hAnsi="Corbel" w:cs="Corbel"/>
          <w:color w:val="595959" w:themeColor="text1" w:themeTint="A6"/>
          <w:spacing w:val="5"/>
        </w:rPr>
        <w:t>were</w:t>
      </w:r>
      <w:r w:rsidRPr="00395194">
        <w:rPr>
          <w:rFonts w:ascii="Corbel" w:hAnsi="Corbel" w:cs="Corbel"/>
          <w:color w:val="595959" w:themeColor="text1" w:themeTint="A6"/>
          <w:spacing w:val="5"/>
        </w:rPr>
        <w:t xml:space="preserve"> </w:t>
      </w:r>
      <w:r w:rsidR="00215914" w:rsidRPr="00395194">
        <w:rPr>
          <w:rFonts w:ascii="Corbel" w:hAnsi="Corbel" w:cs="Corbel"/>
          <w:color w:val="595959" w:themeColor="text1" w:themeTint="A6"/>
          <w:spacing w:val="5"/>
        </w:rPr>
        <w:t xml:space="preserve">primarily </w:t>
      </w:r>
      <w:r w:rsidRPr="00395194">
        <w:rPr>
          <w:rFonts w:ascii="Corbel" w:hAnsi="Corbel" w:cs="Corbel"/>
          <w:color w:val="595959" w:themeColor="text1" w:themeTint="A6"/>
          <w:spacing w:val="5"/>
        </w:rPr>
        <w:t xml:space="preserve">due to </w:t>
      </w:r>
      <w:r w:rsidR="00F5431E" w:rsidRPr="00395194">
        <w:rPr>
          <w:rFonts w:ascii="Corbel" w:hAnsi="Corbel" w:cs="Corbel"/>
          <w:color w:val="595959" w:themeColor="text1" w:themeTint="A6"/>
          <w:spacing w:val="5"/>
        </w:rPr>
        <w:t>winter weather.</w:t>
      </w:r>
      <w:r w:rsidR="00182437" w:rsidRPr="00395194">
        <w:rPr>
          <w:rFonts w:ascii="Corbel" w:hAnsi="Corbel" w:cs="Corbel"/>
          <w:color w:val="595959" w:themeColor="text1" w:themeTint="A6"/>
          <w:spacing w:val="5"/>
        </w:rPr>
        <w:t xml:space="preserve"> </w:t>
      </w:r>
    </w:p>
    <w:p w14:paraId="1034F675" w14:textId="6F506A3E" w:rsidR="00182437" w:rsidRDefault="00BE5EAF" w:rsidP="00AF27EE">
      <w:pPr>
        <w:pStyle w:val="BasicParagraph"/>
        <w:spacing w:before="120" w:line="312" w:lineRule="auto"/>
        <w:jc w:val="both"/>
        <w:rPr>
          <w:rFonts w:ascii="Corbel" w:hAnsi="Corbel" w:cs="Tahoma"/>
          <w:b/>
          <w:i/>
          <w:color w:val="686868"/>
          <w:spacing w:val="5"/>
        </w:rPr>
      </w:pPr>
      <w:r>
        <w:rPr>
          <w:rFonts w:ascii="Corbel" w:hAnsi="Corbel" w:cs="Tahoma"/>
          <w:b/>
          <w:i/>
          <w:color w:val="686868"/>
          <w:spacing w:val="5"/>
        </w:rPr>
        <w:t>Winter 2015</w:t>
      </w:r>
    </w:p>
    <w:p w14:paraId="34806A4D" w14:textId="7893F5A7" w:rsidR="002816B1" w:rsidRPr="002816B1" w:rsidRDefault="002816B1" w:rsidP="002816B1">
      <w:pPr>
        <w:pStyle w:val="NormalWeb"/>
        <w:spacing w:before="120" w:beforeAutospacing="0" w:after="0" w:afterAutospacing="0" w:line="312" w:lineRule="auto"/>
        <w:jc w:val="both"/>
        <w:rPr>
          <w:rFonts w:ascii="Corbel" w:hAnsi="Corbel"/>
          <w:noProof/>
          <w:color w:val="595959" w:themeColor="text1" w:themeTint="A6"/>
        </w:rPr>
      </w:pPr>
      <w:r>
        <w:rPr>
          <w:rFonts w:ascii="Corbel" w:hAnsi="Corbel"/>
          <w:color w:val="595959" w:themeColor="text1" w:themeTint="A6"/>
          <w:lang w:val="en"/>
        </w:rPr>
        <w:t>January through March 2015 temperatures were well below average (Figure XX).  Winter 2015 was one of the coldest on record for much of the Northeast US</w:t>
      </w:r>
      <w:r w:rsidRPr="00395194">
        <w:rPr>
          <w:rFonts w:ascii="Corbel" w:hAnsi="Corbel"/>
          <w:color w:val="595959" w:themeColor="text1" w:themeTint="A6"/>
          <w:lang w:val="en"/>
        </w:rPr>
        <w:t xml:space="preserve">, </w:t>
      </w:r>
      <w:r>
        <w:rPr>
          <w:rFonts w:ascii="Corbel" w:hAnsi="Corbel"/>
          <w:color w:val="595959" w:themeColor="text1" w:themeTint="A6"/>
          <w:lang w:val="en"/>
        </w:rPr>
        <w:t>particularly</w:t>
      </w:r>
      <w:r w:rsidRPr="00395194">
        <w:rPr>
          <w:rFonts w:ascii="Corbel" w:hAnsi="Corbel"/>
          <w:color w:val="595959" w:themeColor="text1" w:themeTint="A6"/>
          <w:lang w:val="en"/>
        </w:rPr>
        <w:t xml:space="preserve"> February </w:t>
      </w:r>
      <w:r w:rsidRPr="00F5431E">
        <w:rPr>
          <w:rFonts w:ascii="Corbel" w:hAnsi="Corbel"/>
          <w:lang w:val="en"/>
        </w:rPr>
        <w:t>(</w:t>
      </w:r>
      <w:r w:rsidRPr="00F5431E">
        <w:rPr>
          <w:rFonts w:ascii="Corbel" w:hAnsi="Corbel"/>
          <w:color w:val="FF0000"/>
          <w:lang w:val="en"/>
        </w:rPr>
        <w:t>Figure XX2</w:t>
      </w:r>
      <w:r w:rsidRPr="00F5431E">
        <w:rPr>
          <w:rFonts w:ascii="Corbel" w:hAnsi="Corbel"/>
          <w:lang w:val="en"/>
        </w:rPr>
        <w:t xml:space="preserve">).  </w:t>
      </w:r>
      <w:r w:rsidRPr="00395194">
        <w:rPr>
          <w:rFonts w:ascii="Corbel" w:hAnsi="Corbel"/>
          <w:color w:val="595959" w:themeColor="text1" w:themeTint="A6"/>
          <w:lang w:val="en"/>
        </w:rPr>
        <w:t>Record-breaking snow depths were also observed during this winter, but as a whole, monthly precipitation averages were slightly below normal.</w:t>
      </w:r>
      <w:r>
        <w:rPr>
          <w:rFonts w:ascii="Corbel" w:hAnsi="Corbel"/>
          <w:noProof/>
          <w:color w:val="595959" w:themeColor="text1" w:themeTint="A6"/>
        </w:rPr>
        <w:t xml:space="preserve"> </w:t>
      </w:r>
    </w:p>
    <w:p w14:paraId="6AEE018A" w14:textId="5089865D" w:rsidR="0040540C" w:rsidRPr="002B761A" w:rsidRDefault="002B761A" w:rsidP="002B761A">
      <w:pPr>
        <w:pStyle w:val="BasicParagraph"/>
        <w:spacing w:before="120" w:line="312" w:lineRule="auto"/>
        <w:jc w:val="both"/>
        <w:rPr>
          <w:rFonts w:ascii="Corbel" w:hAnsi="Corbel" w:cs="Tahoma"/>
          <w:b/>
          <w:i/>
          <w:color w:val="686868"/>
          <w:spacing w:val="5"/>
        </w:rPr>
      </w:pPr>
      <w:r w:rsidRPr="002B761A">
        <w:rPr>
          <w:rFonts w:ascii="Corbel" w:hAnsi="Corbel" w:cs="Tahoma"/>
          <w:b/>
          <w:i/>
          <w:color w:val="686868"/>
          <w:spacing w:val="5"/>
        </w:rPr>
        <w:lastRenderedPageBreak/>
        <w:drawing>
          <wp:inline distT="0" distB="0" distL="0" distR="0" wp14:anchorId="318B370C" wp14:editId="223A7629">
            <wp:extent cx="5943600" cy="302704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BDF143" w14:textId="7F627319" w:rsidR="0040540C" w:rsidRPr="00395194" w:rsidRDefault="0040540C" w:rsidP="00F5431E">
      <w:pPr>
        <w:jc w:val="both"/>
        <w:rPr>
          <w:rFonts w:ascii="Corbel" w:hAnsi="Corbel"/>
          <w:color w:val="595959" w:themeColor="text1" w:themeTint="A6"/>
          <w:sz w:val="24"/>
          <w:szCs w:val="24"/>
        </w:rPr>
      </w:pPr>
      <w:r w:rsidRPr="00F5431E">
        <w:rPr>
          <w:rFonts w:ascii="Corbel" w:hAnsi="Corbel"/>
          <w:color w:val="FF0000"/>
          <w:sz w:val="24"/>
          <w:szCs w:val="24"/>
        </w:rPr>
        <w:t>Figure XX</w:t>
      </w:r>
      <w:r w:rsidRPr="00395194">
        <w:rPr>
          <w:rFonts w:ascii="Corbel" w:hAnsi="Corbel"/>
          <w:color w:val="595959" w:themeColor="text1" w:themeTint="A6"/>
          <w:sz w:val="24"/>
          <w:szCs w:val="24"/>
        </w:rPr>
        <w:t xml:space="preserve">. Connecticut monthly temperature anomaly from 1980-2018 for January, February and March.  </w:t>
      </w:r>
      <w:r w:rsidR="002B761A">
        <w:rPr>
          <w:rFonts w:ascii="Corbel" w:hAnsi="Corbel"/>
          <w:color w:val="595959" w:themeColor="text1" w:themeTint="A6"/>
          <w:sz w:val="24"/>
          <w:szCs w:val="24"/>
        </w:rPr>
        <w:t xml:space="preserve">Temperature anomaly is the departure of </w:t>
      </w:r>
      <w:proofErr w:type="spellStart"/>
      <w:r w:rsidR="002B761A">
        <w:rPr>
          <w:rFonts w:ascii="Corbel" w:hAnsi="Corbel"/>
          <w:color w:val="595959" w:themeColor="text1" w:themeTint="A6"/>
          <w:sz w:val="24"/>
          <w:szCs w:val="24"/>
        </w:rPr>
        <w:t>detrended</w:t>
      </w:r>
      <w:proofErr w:type="spellEnd"/>
      <w:r w:rsidR="002B761A">
        <w:rPr>
          <w:rFonts w:ascii="Corbel" w:hAnsi="Corbel"/>
          <w:color w:val="595959" w:themeColor="text1" w:themeTint="A6"/>
          <w:sz w:val="24"/>
          <w:szCs w:val="24"/>
        </w:rPr>
        <w:t xml:space="preserve"> monthly means from 1980-2018 climatology </w:t>
      </w:r>
      <w:r w:rsidRPr="00395194">
        <w:rPr>
          <w:rFonts w:ascii="Corbel" w:hAnsi="Corbel"/>
          <w:color w:val="595959" w:themeColor="text1" w:themeTint="A6"/>
          <w:sz w:val="24"/>
          <w:szCs w:val="24"/>
        </w:rPr>
        <w:t>in degrees Fahrenheit.  Source</w:t>
      </w:r>
      <w:r w:rsidR="006670B9" w:rsidRPr="00395194">
        <w:rPr>
          <w:rFonts w:ascii="Corbel" w:hAnsi="Corbel"/>
          <w:color w:val="595959" w:themeColor="text1" w:themeTint="A6"/>
          <w:sz w:val="24"/>
          <w:szCs w:val="24"/>
        </w:rPr>
        <w:t>:</w:t>
      </w:r>
      <w:r w:rsidRPr="00395194">
        <w:rPr>
          <w:rFonts w:ascii="Corbel" w:hAnsi="Corbel"/>
          <w:color w:val="595959" w:themeColor="text1" w:themeTint="A6"/>
          <w:sz w:val="24"/>
          <w:szCs w:val="24"/>
        </w:rPr>
        <w:t xml:space="preserve"> NOAA statewide Climate at a Glance (https://www.ncdc.noaa.gov/cag/).</w:t>
      </w:r>
    </w:p>
    <w:p w14:paraId="33DEDF51" w14:textId="1071309A" w:rsidR="0040540C" w:rsidRPr="00395194" w:rsidRDefault="0040540C"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In late December, early January an intense cold front originating along the US west coast, moved across</w:t>
      </w:r>
      <w:r w:rsidR="00215914" w:rsidRPr="00395194">
        <w:rPr>
          <w:rFonts w:ascii="Corbel" w:hAnsi="Corbel"/>
          <w:color w:val="595959" w:themeColor="text1" w:themeTint="A6"/>
          <w:sz w:val="24"/>
          <w:szCs w:val="24"/>
        </w:rPr>
        <w:t xml:space="preserve"> the continent.  Temperatures across the Northeast plummeted.  </w:t>
      </w:r>
      <w:r w:rsidRPr="00395194">
        <w:rPr>
          <w:rFonts w:ascii="Corbel" w:hAnsi="Corbel"/>
          <w:color w:val="595959" w:themeColor="text1" w:themeTint="A6"/>
          <w:sz w:val="24"/>
          <w:szCs w:val="24"/>
        </w:rPr>
        <w:t xml:space="preserve">This was followed by a “polar vortex” or a stalled/slow moving trough of a </w:t>
      </w:r>
      <w:proofErr w:type="spellStart"/>
      <w:r w:rsidRPr="00395194">
        <w:rPr>
          <w:rFonts w:ascii="Corbel" w:hAnsi="Corbel"/>
          <w:color w:val="595959" w:themeColor="text1" w:themeTint="A6"/>
          <w:sz w:val="24"/>
          <w:szCs w:val="24"/>
        </w:rPr>
        <w:t>Rossby</w:t>
      </w:r>
      <w:proofErr w:type="spellEnd"/>
      <w:r w:rsidRPr="00395194">
        <w:rPr>
          <w:rFonts w:ascii="Corbel" w:hAnsi="Corbel"/>
          <w:color w:val="595959" w:themeColor="text1" w:themeTint="A6"/>
          <w:sz w:val="24"/>
          <w:szCs w:val="24"/>
        </w:rPr>
        <w:t xml:space="preserve"> wave over the Northeastern US in mid/late January through mid-February.  Typical conditions of a</w:t>
      </w:r>
      <w:r w:rsidR="006670B9" w:rsidRPr="00395194">
        <w:rPr>
          <w:rFonts w:ascii="Corbel" w:hAnsi="Corbel"/>
          <w:color w:val="595959" w:themeColor="text1" w:themeTint="A6"/>
          <w:sz w:val="24"/>
          <w:szCs w:val="24"/>
        </w:rPr>
        <w:t xml:space="preserve"> stalled polar vortex are cold and </w:t>
      </w:r>
      <w:r w:rsidRPr="00395194">
        <w:rPr>
          <w:rFonts w:ascii="Corbel" w:hAnsi="Corbel"/>
          <w:color w:val="595959" w:themeColor="text1" w:themeTint="A6"/>
          <w:sz w:val="24"/>
          <w:szCs w:val="24"/>
        </w:rPr>
        <w:t>dry</w:t>
      </w:r>
      <w:r w:rsidR="006670B9" w:rsidRPr="00395194">
        <w:rPr>
          <w:rFonts w:ascii="Corbel" w:hAnsi="Corbel"/>
          <w:color w:val="595959" w:themeColor="text1" w:themeTint="A6"/>
          <w:sz w:val="24"/>
          <w:szCs w:val="24"/>
        </w:rPr>
        <w:t xml:space="preserve"> with strong winds</w:t>
      </w:r>
      <w:r w:rsidRPr="00395194">
        <w:rPr>
          <w:rFonts w:ascii="Corbel" w:hAnsi="Corbel"/>
          <w:color w:val="595959" w:themeColor="text1" w:themeTint="A6"/>
          <w:sz w:val="24"/>
          <w:szCs w:val="24"/>
        </w:rPr>
        <w:t xml:space="preserve">.  </w:t>
      </w:r>
      <w:r w:rsidR="00215914" w:rsidRPr="00395194">
        <w:rPr>
          <w:rFonts w:ascii="Corbel" w:hAnsi="Corbel"/>
          <w:color w:val="595959" w:themeColor="text1" w:themeTint="A6"/>
          <w:sz w:val="24"/>
          <w:szCs w:val="24"/>
        </w:rPr>
        <w:t>During this period</w:t>
      </w:r>
      <w:r w:rsidR="006670B9" w:rsidRPr="00395194">
        <w:rPr>
          <w:rFonts w:ascii="Corbel" w:hAnsi="Corbel"/>
          <w:color w:val="595959" w:themeColor="text1" w:themeTint="A6"/>
          <w:sz w:val="24"/>
          <w:szCs w:val="24"/>
        </w:rPr>
        <w:t>,</w:t>
      </w:r>
      <w:r w:rsidR="00215914" w:rsidRPr="00395194">
        <w:rPr>
          <w:rFonts w:ascii="Corbel" w:hAnsi="Corbel"/>
          <w:color w:val="595959" w:themeColor="text1" w:themeTint="A6"/>
          <w:sz w:val="24"/>
          <w:szCs w:val="24"/>
        </w:rPr>
        <w:t xml:space="preserve"> t</w:t>
      </w:r>
      <w:r w:rsidRPr="00395194">
        <w:rPr>
          <w:rFonts w:ascii="Corbel" w:hAnsi="Corbel"/>
          <w:color w:val="595959" w:themeColor="text1" w:themeTint="A6"/>
          <w:sz w:val="24"/>
          <w:szCs w:val="24"/>
        </w:rPr>
        <w:t>emperatures across the Northeast region were below average</w:t>
      </w:r>
      <w:r w:rsidR="00B8508C" w:rsidRPr="00395194">
        <w:rPr>
          <w:rFonts w:ascii="Corbel" w:hAnsi="Corbel"/>
          <w:color w:val="595959" w:themeColor="text1" w:themeTint="A6"/>
          <w:sz w:val="24"/>
          <w:szCs w:val="24"/>
        </w:rPr>
        <w:t xml:space="preserve"> </w:t>
      </w:r>
      <w:r w:rsidRPr="00F5431E">
        <w:rPr>
          <w:rFonts w:ascii="Corbel" w:hAnsi="Corbel"/>
          <w:sz w:val="24"/>
          <w:szCs w:val="24"/>
        </w:rPr>
        <w:t>(</w:t>
      </w:r>
      <w:r w:rsidRPr="00F5431E">
        <w:rPr>
          <w:rFonts w:ascii="Corbel" w:hAnsi="Corbel"/>
          <w:color w:val="FF0000"/>
          <w:sz w:val="24"/>
          <w:szCs w:val="24"/>
        </w:rPr>
        <w:t>Figure XX</w:t>
      </w:r>
      <w:r w:rsidR="00EC7D21">
        <w:rPr>
          <w:rFonts w:ascii="Corbel" w:hAnsi="Corbel"/>
          <w:color w:val="FF0000"/>
          <w:sz w:val="24"/>
          <w:szCs w:val="24"/>
        </w:rPr>
        <w:t>2</w:t>
      </w:r>
      <w:r w:rsidRPr="00395194">
        <w:rPr>
          <w:rFonts w:ascii="Corbel" w:hAnsi="Corbel"/>
          <w:color w:val="595959" w:themeColor="text1" w:themeTint="A6"/>
          <w:sz w:val="24"/>
          <w:szCs w:val="24"/>
        </w:rPr>
        <w:t>).</w:t>
      </w:r>
      <w:r w:rsidR="00504DA3" w:rsidRPr="00395194">
        <w:rPr>
          <w:rFonts w:ascii="Corbel" w:hAnsi="Corbel"/>
          <w:color w:val="595959" w:themeColor="text1" w:themeTint="A6"/>
          <w:sz w:val="24"/>
          <w:szCs w:val="24"/>
        </w:rPr>
        <w:t xml:space="preserve"> </w:t>
      </w:r>
      <w:r w:rsidR="003432A6" w:rsidRPr="00395194">
        <w:rPr>
          <w:rFonts w:ascii="Corbel" w:hAnsi="Corbel"/>
          <w:color w:val="595959" w:themeColor="text1" w:themeTint="A6"/>
          <w:sz w:val="24"/>
          <w:szCs w:val="24"/>
        </w:rPr>
        <w:t>For many</w:t>
      </w:r>
      <w:r w:rsidR="00EC7D21" w:rsidRPr="00395194">
        <w:rPr>
          <w:rFonts w:ascii="Corbel" w:hAnsi="Corbel"/>
          <w:color w:val="595959" w:themeColor="text1" w:themeTint="A6"/>
          <w:sz w:val="24"/>
          <w:szCs w:val="24"/>
        </w:rPr>
        <w:t xml:space="preserve"> </w:t>
      </w:r>
      <w:r w:rsidR="003432A6" w:rsidRPr="00395194">
        <w:rPr>
          <w:rFonts w:ascii="Corbel" w:hAnsi="Corbel"/>
          <w:color w:val="595959" w:themeColor="text1" w:themeTint="A6"/>
          <w:sz w:val="24"/>
          <w:szCs w:val="24"/>
        </w:rPr>
        <w:t xml:space="preserve">cities in </w:t>
      </w:r>
      <w:r w:rsidR="00EC7D21" w:rsidRPr="00395194">
        <w:rPr>
          <w:rFonts w:ascii="Corbel" w:hAnsi="Corbel"/>
          <w:color w:val="595959" w:themeColor="text1" w:themeTint="A6"/>
          <w:sz w:val="24"/>
          <w:szCs w:val="24"/>
        </w:rPr>
        <w:t>Connecticut, this was the coldest February on record, and with a 16.1</w:t>
      </w:r>
      <w:r w:rsidR="00EC7D21" w:rsidRPr="00395194">
        <w:rPr>
          <w:rFonts w:ascii="Corbel" w:hAnsi="Corbel"/>
          <w:color w:val="595959" w:themeColor="text1" w:themeTint="A6"/>
          <w:sz w:val="24"/>
          <w:szCs w:val="24"/>
          <w:vertAlign w:val="superscript"/>
        </w:rPr>
        <w:t>o</w:t>
      </w:r>
      <w:r w:rsidR="00EC7D21" w:rsidRPr="00395194">
        <w:rPr>
          <w:rFonts w:ascii="Corbel" w:hAnsi="Corbel"/>
          <w:color w:val="595959" w:themeColor="text1" w:themeTint="A6"/>
          <w:sz w:val="24"/>
          <w:szCs w:val="24"/>
        </w:rPr>
        <w:t xml:space="preserve">F average temperature, the state average was </w:t>
      </w:r>
      <w:r w:rsidR="003432A6" w:rsidRPr="00395194">
        <w:rPr>
          <w:rFonts w:ascii="Corbel" w:hAnsi="Corbel"/>
          <w:color w:val="595959" w:themeColor="text1" w:themeTint="A6"/>
          <w:sz w:val="24"/>
          <w:szCs w:val="24"/>
        </w:rPr>
        <w:t>record setting as well.</w:t>
      </w:r>
    </w:p>
    <w:p w14:paraId="082A079D" w14:textId="0984FF61" w:rsidR="0040540C" w:rsidRPr="00395194" w:rsidRDefault="00215914"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The conditions created by the “polar vortex”</w:t>
      </w:r>
      <w:r w:rsidR="00182437" w:rsidRPr="00395194">
        <w:rPr>
          <w:rFonts w:ascii="Corbel" w:hAnsi="Corbel"/>
          <w:color w:val="595959" w:themeColor="text1" w:themeTint="A6"/>
          <w:sz w:val="24"/>
          <w:szCs w:val="24"/>
        </w:rPr>
        <w:t>, and warmer than average Northern Atlantic sea surface temperature from a mild El Nino phase,</w:t>
      </w:r>
      <w:r w:rsidRPr="00395194">
        <w:rPr>
          <w:rFonts w:ascii="Corbel" w:hAnsi="Corbel"/>
          <w:color w:val="595959" w:themeColor="text1" w:themeTint="A6"/>
          <w:sz w:val="24"/>
          <w:szCs w:val="24"/>
        </w:rPr>
        <w:t xml:space="preserve"> helped spur 2 large snow </w:t>
      </w:r>
      <w:r w:rsidR="00602F0E" w:rsidRPr="00395194">
        <w:rPr>
          <w:rFonts w:ascii="Corbel" w:hAnsi="Corbel"/>
          <w:color w:val="595959" w:themeColor="text1" w:themeTint="A6"/>
          <w:sz w:val="24"/>
          <w:szCs w:val="24"/>
        </w:rPr>
        <w:t>events</w:t>
      </w:r>
      <w:r w:rsidRPr="00395194">
        <w:rPr>
          <w:rFonts w:ascii="Corbel" w:hAnsi="Corbel"/>
          <w:color w:val="595959" w:themeColor="text1" w:themeTint="A6"/>
          <w:sz w:val="24"/>
          <w:szCs w:val="24"/>
        </w:rPr>
        <w:t>.  These</w:t>
      </w:r>
      <w:r w:rsidR="0040540C" w:rsidRPr="00395194">
        <w:rPr>
          <w:rFonts w:ascii="Corbel" w:hAnsi="Corbel"/>
          <w:color w:val="595959" w:themeColor="text1" w:themeTint="A6"/>
          <w:sz w:val="24"/>
          <w:szCs w:val="24"/>
        </w:rPr>
        <w:t xml:space="preserve"> low pressure, high moisture systems</w:t>
      </w:r>
      <w:r w:rsidRPr="00395194">
        <w:rPr>
          <w:rFonts w:ascii="Corbel" w:hAnsi="Corbel"/>
          <w:color w:val="595959" w:themeColor="text1" w:themeTint="A6"/>
          <w:sz w:val="24"/>
          <w:szCs w:val="24"/>
        </w:rPr>
        <w:t xml:space="preserve"> developed along the east coast and were </w:t>
      </w:r>
      <w:r w:rsidR="0040540C" w:rsidRPr="00395194">
        <w:rPr>
          <w:rFonts w:ascii="Corbel" w:hAnsi="Corbel"/>
          <w:color w:val="595959" w:themeColor="text1" w:themeTint="A6"/>
          <w:sz w:val="24"/>
          <w:szCs w:val="24"/>
        </w:rPr>
        <w:t>pulled into the polar vortex, resulting in intense snow storms on January 26-27</w:t>
      </w:r>
      <w:r w:rsidR="0040540C" w:rsidRPr="00395194">
        <w:rPr>
          <w:rFonts w:ascii="Corbel" w:hAnsi="Corbel"/>
          <w:color w:val="595959" w:themeColor="text1" w:themeTint="A6"/>
          <w:sz w:val="24"/>
          <w:szCs w:val="24"/>
          <w:vertAlign w:val="superscript"/>
        </w:rPr>
        <w:t>th</w:t>
      </w:r>
      <w:r w:rsidR="0040540C" w:rsidRPr="00395194">
        <w:rPr>
          <w:rFonts w:ascii="Corbel" w:hAnsi="Corbel"/>
          <w:color w:val="595959" w:themeColor="text1" w:themeTint="A6"/>
          <w:sz w:val="24"/>
          <w:szCs w:val="24"/>
        </w:rPr>
        <w:t xml:space="preserve"> and February 14-15</w:t>
      </w:r>
      <w:r w:rsidR="0040540C" w:rsidRPr="00D044F7">
        <w:rPr>
          <w:rFonts w:ascii="Corbel" w:hAnsi="Corbel"/>
          <w:color w:val="595959" w:themeColor="text1" w:themeTint="A6"/>
          <w:sz w:val="24"/>
          <w:szCs w:val="24"/>
          <w:vertAlign w:val="superscript"/>
        </w:rPr>
        <w:t>th</w:t>
      </w:r>
      <w:r w:rsidR="0040540C" w:rsidRPr="00395194">
        <w:rPr>
          <w:rFonts w:ascii="Corbel" w:hAnsi="Corbel"/>
          <w:color w:val="595959" w:themeColor="text1" w:themeTint="A6"/>
          <w:sz w:val="24"/>
          <w:szCs w:val="24"/>
        </w:rPr>
        <w:t>.  As these systems moved eastward off the coast, days following the snow storms were anomalously cold</w:t>
      </w:r>
      <w:r w:rsidR="00182437" w:rsidRPr="00395194">
        <w:rPr>
          <w:rFonts w:ascii="Corbel" w:hAnsi="Corbel"/>
          <w:color w:val="595959" w:themeColor="text1" w:themeTint="A6"/>
          <w:sz w:val="24"/>
          <w:szCs w:val="24"/>
        </w:rPr>
        <w:t>.</w:t>
      </w:r>
      <w:r w:rsidR="00BE2741" w:rsidRPr="00395194">
        <w:rPr>
          <w:rStyle w:val="FootnoteReference"/>
          <w:rFonts w:ascii="Corbel" w:hAnsi="Corbel"/>
          <w:color w:val="595959" w:themeColor="text1" w:themeTint="A6"/>
          <w:sz w:val="24"/>
          <w:szCs w:val="24"/>
        </w:rPr>
        <w:footnoteReference w:id="6"/>
      </w:r>
      <w:r w:rsidR="0040540C" w:rsidRPr="00395194">
        <w:rPr>
          <w:rFonts w:ascii="Corbel" w:hAnsi="Corbel"/>
          <w:color w:val="595959" w:themeColor="text1" w:themeTint="A6"/>
          <w:sz w:val="24"/>
          <w:szCs w:val="24"/>
        </w:rPr>
        <w:t xml:space="preserve"> </w:t>
      </w:r>
    </w:p>
    <w:p w14:paraId="4F72B5B3" w14:textId="06B03138" w:rsidR="0040540C" w:rsidRDefault="0040540C"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lastRenderedPageBreak/>
        <w:t>The February 1-2nd North American Blizzard also occurred during the 2015 winter but this system developed off the west coast of the US, depositing record snow amounts across the Midwest and into</w:t>
      </w:r>
      <w:r w:rsidR="007842B9">
        <w:rPr>
          <w:rFonts w:ascii="Corbel" w:hAnsi="Corbel"/>
          <w:color w:val="595959" w:themeColor="text1" w:themeTint="A6"/>
          <w:sz w:val="24"/>
          <w:szCs w:val="24"/>
        </w:rPr>
        <w:t xml:space="preserve"> the Northeast</w:t>
      </w:r>
      <w:r w:rsidRPr="00395194">
        <w:rPr>
          <w:rFonts w:ascii="Corbel" w:hAnsi="Corbel"/>
          <w:color w:val="595959" w:themeColor="text1" w:themeTint="A6"/>
          <w:sz w:val="24"/>
          <w:szCs w:val="24"/>
        </w:rPr>
        <w:t>.  Parts of Massachusetts received up to 2 feet of snow.</w:t>
      </w:r>
    </w:p>
    <w:p w14:paraId="7EB17F8C" w14:textId="39318130" w:rsidR="0040540C" w:rsidRPr="002816B1" w:rsidRDefault="00F36BE3" w:rsidP="002816B1">
      <w:pPr>
        <w:spacing w:before="120" w:after="0" w:line="312" w:lineRule="auto"/>
        <w:jc w:val="both"/>
        <w:rPr>
          <w:rFonts w:ascii="Corbel" w:hAnsi="Corbel"/>
          <w:color w:val="595959" w:themeColor="text1" w:themeTint="A6"/>
          <w:sz w:val="24"/>
          <w:szCs w:val="24"/>
        </w:rPr>
      </w:pPr>
      <w:r w:rsidRPr="00F36BE3">
        <w:rPr>
          <w:rFonts w:ascii="Corbel" w:hAnsi="Corbel"/>
          <w:color w:val="595959" w:themeColor="text1" w:themeTint="A6"/>
          <w:sz w:val="24"/>
          <w:szCs w:val="24"/>
        </w:rPr>
        <w:drawing>
          <wp:inline distT="0" distB="0" distL="0" distR="0" wp14:anchorId="0648EDE0" wp14:editId="08D9D5B8">
            <wp:extent cx="5943600" cy="357060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5BBA66" w14:textId="62A6EF26" w:rsidR="00BE5EAF" w:rsidRPr="002816B1" w:rsidRDefault="0040540C" w:rsidP="002816B1">
      <w:pPr>
        <w:jc w:val="both"/>
        <w:rPr>
          <w:rFonts w:ascii="Corbel" w:hAnsi="Corbel"/>
          <w:color w:val="595959" w:themeColor="text1" w:themeTint="A6"/>
          <w:sz w:val="24"/>
          <w:szCs w:val="24"/>
        </w:rPr>
      </w:pPr>
      <w:r w:rsidRPr="00F5431E">
        <w:rPr>
          <w:rFonts w:ascii="Corbel" w:hAnsi="Corbel"/>
          <w:color w:val="FF0000"/>
          <w:sz w:val="24"/>
          <w:szCs w:val="24"/>
          <w:lang w:val="en"/>
        </w:rPr>
        <w:t>Figure XX2.</w:t>
      </w:r>
      <w:r w:rsidRPr="00F5431E">
        <w:rPr>
          <w:rFonts w:ascii="Corbel" w:hAnsi="Corbel"/>
          <w:sz w:val="24"/>
          <w:szCs w:val="24"/>
          <w:lang w:val="en"/>
        </w:rPr>
        <w:t xml:space="preserve"> </w:t>
      </w:r>
      <w:r w:rsidRPr="00395194">
        <w:rPr>
          <w:rFonts w:ascii="Corbel" w:hAnsi="Corbel"/>
          <w:color w:val="595959" w:themeColor="text1" w:themeTint="A6"/>
          <w:sz w:val="24"/>
          <w:szCs w:val="24"/>
        </w:rPr>
        <w:t>New England monthly temperature anomaly from 1980-2018 for</w:t>
      </w:r>
      <w:r w:rsidR="00F36BE3">
        <w:rPr>
          <w:rFonts w:ascii="Corbel" w:hAnsi="Corbel"/>
          <w:color w:val="595959" w:themeColor="text1" w:themeTint="A6"/>
          <w:sz w:val="24"/>
          <w:szCs w:val="24"/>
        </w:rPr>
        <w:t xml:space="preserve"> February.  Tem</w:t>
      </w:r>
      <w:r w:rsidR="002B761A">
        <w:rPr>
          <w:rFonts w:ascii="Corbel" w:hAnsi="Corbel"/>
          <w:color w:val="595959" w:themeColor="text1" w:themeTint="A6"/>
          <w:sz w:val="24"/>
          <w:szCs w:val="24"/>
        </w:rPr>
        <w:t>perature anomaly is the depar</w:t>
      </w:r>
      <w:r w:rsidR="00F36BE3">
        <w:rPr>
          <w:rFonts w:ascii="Corbel" w:hAnsi="Corbel"/>
          <w:color w:val="595959" w:themeColor="text1" w:themeTint="A6"/>
          <w:sz w:val="24"/>
          <w:szCs w:val="24"/>
        </w:rPr>
        <w:t xml:space="preserve">ture </w:t>
      </w:r>
      <w:r w:rsidR="002B761A">
        <w:rPr>
          <w:rFonts w:ascii="Corbel" w:hAnsi="Corbel"/>
          <w:color w:val="595959" w:themeColor="text1" w:themeTint="A6"/>
          <w:sz w:val="24"/>
          <w:szCs w:val="24"/>
        </w:rPr>
        <w:t xml:space="preserve">of </w:t>
      </w:r>
      <w:proofErr w:type="spellStart"/>
      <w:r w:rsidR="002B761A">
        <w:rPr>
          <w:rFonts w:ascii="Corbel" w:hAnsi="Corbel"/>
          <w:color w:val="595959" w:themeColor="text1" w:themeTint="A6"/>
          <w:sz w:val="24"/>
          <w:szCs w:val="24"/>
        </w:rPr>
        <w:t>detrended</w:t>
      </w:r>
      <w:proofErr w:type="spellEnd"/>
      <w:r w:rsidR="002B761A">
        <w:rPr>
          <w:rFonts w:ascii="Corbel" w:hAnsi="Corbel"/>
          <w:color w:val="595959" w:themeColor="text1" w:themeTint="A6"/>
          <w:sz w:val="24"/>
          <w:szCs w:val="24"/>
        </w:rPr>
        <w:t xml:space="preserve"> monthly means </w:t>
      </w:r>
      <w:r w:rsidR="00F36BE3">
        <w:rPr>
          <w:rFonts w:ascii="Corbel" w:hAnsi="Corbel"/>
          <w:color w:val="595959" w:themeColor="text1" w:themeTint="A6"/>
          <w:sz w:val="24"/>
          <w:szCs w:val="24"/>
        </w:rPr>
        <w:t>from 1980-201</w:t>
      </w:r>
      <w:r w:rsidR="002B761A">
        <w:rPr>
          <w:rFonts w:ascii="Corbel" w:hAnsi="Corbel"/>
          <w:color w:val="595959" w:themeColor="text1" w:themeTint="A6"/>
          <w:sz w:val="24"/>
          <w:szCs w:val="24"/>
        </w:rPr>
        <w:t>8</w:t>
      </w:r>
      <w:r w:rsidR="00F36BE3">
        <w:rPr>
          <w:rFonts w:ascii="Corbel" w:hAnsi="Corbel"/>
          <w:color w:val="595959" w:themeColor="text1" w:themeTint="A6"/>
          <w:sz w:val="24"/>
          <w:szCs w:val="24"/>
        </w:rPr>
        <w:t xml:space="preserve"> climatology</w:t>
      </w:r>
      <w:r w:rsidRPr="00395194">
        <w:rPr>
          <w:rFonts w:ascii="Corbel" w:hAnsi="Corbel"/>
          <w:color w:val="595959" w:themeColor="text1" w:themeTint="A6"/>
          <w:sz w:val="24"/>
          <w:szCs w:val="24"/>
        </w:rPr>
        <w:t>.  Source</w:t>
      </w:r>
      <w:r w:rsidR="002B761A">
        <w:rPr>
          <w:rFonts w:ascii="Corbel" w:hAnsi="Corbel"/>
          <w:color w:val="595959" w:themeColor="text1" w:themeTint="A6"/>
          <w:sz w:val="24"/>
          <w:szCs w:val="24"/>
        </w:rPr>
        <w:t>:</w:t>
      </w:r>
      <w:r w:rsidRPr="00395194">
        <w:rPr>
          <w:rFonts w:ascii="Corbel" w:hAnsi="Corbel"/>
          <w:color w:val="595959" w:themeColor="text1" w:themeTint="A6"/>
          <w:sz w:val="24"/>
          <w:szCs w:val="24"/>
        </w:rPr>
        <w:t xml:space="preserve"> NOAA statewide Climate at a Glance (h</w:t>
      </w:r>
      <w:r w:rsidR="002816B1">
        <w:rPr>
          <w:rFonts w:ascii="Corbel" w:hAnsi="Corbel"/>
          <w:color w:val="595959" w:themeColor="text1" w:themeTint="A6"/>
          <w:sz w:val="24"/>
          <w:szCs w:val="24"/>
        </w:rPr>
        <w:t>ttps://www.ncdc.noaa.gov/cag/).</w:t>
      </w:r>
    </w:p>
    <w:p w14:paraId="6DD3809A" w14:textId="2E47877A" w:rsidR="0040540C" w:rsidRPr="00395194" w:rsidRDefault="00E12C94"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 xml:space="preserve">For </w:t>
      </w:r>
      <w:r w:rsidR="0040540C" w:rsidRPr="00395194">
        <w:rPr>
          <w:rFonts w:ascii="Corbel" w:hAnsi="Corbel"/>
          <w:color w:val="595959" w:themeColor="text1" w:themeTint="A6"/>
          <w:sz w:val="24"/>
          <w:szCs w:val="24"/>
        </w:rPr>
        <w:t>Connecticut over 78% of energy demand is met through use of natural gas, and demand for natural gas is highest when the weather is coldest. According to ISO-NE</w:t>
      </w:r>
      <w:r w:rsidR="00BE2741" w:rsidRPr="00395194">
        <w:rPr>
          <w:rFonts w:ascii="Corbel" w:hAnsi="Corbel"/>
          <w:color w:val="595959" w:themeColor="text1" w:themeTint="A6"/>
          <w:sz w:val="24"/>
          <w:szCs w:val="24"/>
        </w:rPr>
        <w:t xml:space="preserve"> </w:t>
      </w:r>
      <w:r w:rsidR="00BE2741" w:rsidRPr="00395194">
        <w:rPr>
          <w:rStyle w:val="FootnoteReference"/>
          <w:rFonts w:ascii="Corbel" w:hAnsi="Corbel"/>
          <w:color w:val="595959" w:themeColor="text1" w:themeTint="A6"/>
          <w:sz w:val="24"/>
          <w:szCs w:val="24"/>
        </w:rPr>
        <w:footnoteReference w:id="7"/>
      </w:r>
      <w:r w:rsidR="0040540C" w:rsidRPr="00395194">
        <w:rPr>
          <w:rFonts w:ascii="Corbel" w:hAnsi="Corbel"/>
          <w:color w:val="595959" w:themeColor="text1" w:themeTint="A6"/>
          <w:sz w:val="24"/>
          <w:szCs w:val="24"/>
        </w:rPr>
        <w:t xml:space="preserve"> in mid/late February 2015, demand in the Northeast was the highest in recorded history.  In the ISO-NE region, over 50% of the electricity generated is from natural gas-fueled resources.  When demand is high, residential customers are guaranteed supply, </w:t>
      </w:r>
      <w:r w:rsidR="00325C35" w:rsidRPr="00395194">
        <w:rPr>
          <w:rFonts w:ascii="Corbel" w:hAnsi="Corbel"/>
          <w:color w:val="595959" w:themeColor="text1" w:themeTint="A6"/>
          <w:sz w:val="24"/>
          <w:szCs w:val="24"/>
        </w:rPr>
        <w:t>but</w:t>
      </w:r>
      <w:r w:rsidR="0040540C" w:rsidRPr="00395194">
        <w:rPr>
          <w:rFonts w:ascii="Corbel" w:hAnsi="Corbel"/>
          <w:color w:val="595959" w:themeColor="text1" w:themeTint="A6"/>
          <w:sz w:val="24"/>
          <w:szCs w:val="24"/>
        </w:rPr>
        <w:t xml:space="preserve"> there is little left in the pipeline for electric generation needs.</w:t>
      </w:r>
      <w:r w:rsidR="00325C35" w:rsidRPr="00395194">
        <w:rPr>
          <w:rFonts w:ascii="Corbel" w:hAnsi="Corbel"/>
          <w:color w:val="595959" w:themeColor="text1" w:themeTint="A6"/>
          <w:sz w:val="24"/>
          <w:szCs w:val="24"/>
        </w:rPr>
        <w:t xml:space="preserve"> To meet non-residential electric generation needs, other sources of energy are used, particularly oil and coal resources, which emit more GHGs than natural gas.</w:t>
      </w:r>
      <w:r w:rsidR="00A5281E">
        <w:rPr>
          <w:rFonts w:ascii="Corbel" w:hAnsi="Corbel"/>
          <w:color w:val="595959" w:themeColor="text1" w:themeTint="A6"/>
          <w:sz w:val="24"/>
          <w:szCs w:val="24"/>
        </w:rPr>
        <w:t xml:space="preserve">  </w:t>
      </w:r>
    </w:p>
    <w:p w14:paraId="6533C9A9" w14:textId="082D0B25" w:rsidR="00D30E8F" w:rsidRDefault="0040540C"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 xml:space="preserve">The lowest monthly percentages of natural‐gas‐fired generation in 2015 for New England </w:t>
      </w:r>
      <w:r w:rsidRPr="00F5431E">
        <w:rPr>
          <w:rFonts w:ascii="Corbel" w:hAnsi="Corbel"/>
          <w:b/>
          <w:color w:val="FF0000"/>
          <w:sz w:val="24"/>
          <w:szCs w:val="24"/>
          <w:u w:val="single"/>
        </w:rPr>
        <w:t xml:space="preserve">(what term should be used? ISO-NE region, New England, Northeast?) </w:t>
      </w:r>
      <w:proofErr w:type="gramStart"/>
      <w:r w:rsidRPr="00395194">
        <w:rPr>
          <w:rFonts w:ascii="Corbel" w:hAnsi="Corbel"/>
          <w:color w:val="595959" w:themeColor="text1" w:themeTint="A6"/>
          <w:sz w:val="24"/>
          <w:szCs w:val="24"/>
        </w:rPr>
        <w:t>were</w:t>
      </w:r>
      <w:proofErr w:type="gramEnd"/>
      <w:r w:rsidRPr="00395194">
        <w:rPr>
          <w:rFonts w:ascii="Corbel" w:hAnsi="Corbel"/>
          <w:color w:val="595959" w:themeColor="text1" w:themeTint="A6"/>
          <w:sz w:val="24"/>
          <w:szCs w:val="24"/>
        </w:rPr>
        <w:t xml:space="preserve"> in January, February, </w:t>
      </w:r>
      <w:r w:rsidRPr="00395194">
        <w:rPr>
          <w:rFonts w:ascii="Corbel" w:hAnsi="Corbel"/>
          <w:color w:val="595959" w:themeColor="text1" w:themeTint="A6"/>
          <w:sz w:val="24"/>
          <w:szCs w:val="24"/>
        </w:rPr>
        <w:lastRenderedPageBreak/>
        <w:t xml:space="preserve">and March. </w:t>
      </w:r>
      <w:r w:rsidR="00BE5EAF">
        <w:rPr>
          <w:rFonts w:ascii="Corbel" w:hAnsi="Corbel"/>
          <w:color w:val="595959" w:themeColor="text1" w:themeTint="A6"/>
          <w:sz w:val="24"/>
          <w:szCs w:val="24"/>
        </w:rPr>
        <w:t>T</w:t>
      </w:r>
      <w:r w:rsidRPr="00395194">
        <w:rPr>
          <w:rFonts w:ascii="Corbel" w:hAnsi="Corbel"/>
          <w:color w:val="595959" w:themeColor="text1" w:themeTint="A6"/>
          <w:sz w:val="24"/>
          <w:szCs w:val="24"/>
        </w:rPr>
        <w:t>hese are also the months during which coal‐ and oil‐fired generation had a larger contribution. While nuclear and natural gas were the dominant fuels used to produce power in winter 2015, oil and coal resources were a large part of the fuel mix. This was especially true during February, the coldest month</w:t>
      </w:r>
      <w:r w:rsidR="00936642">
        <w:rPr>
          <w:rFonts w:ascii="Corbel" w:hAnsi="Corbel"/>
          <w:color w:val="595959" w:themeColor="text1" w:themeTint="A6"/>
          <w:sz w:val="24"/>
          <w:szCs w:val="24"/>
        </w:rPr>
        <w:t xml:space="preserve"> (put in figure number)</w:t>
      </w:r>
      <w:bookmarkStart w:id="1" w:name="_GoBack"/>
      <w:bookmarkEnd w:id="1"/>
      <w:r w:rsidRPr="00395194">
        <w:rPr>
          <w:rFonts w:ascii="Corbel" w:hAnsi="Corbel"/>
          <w:color w:val="595959" w:themeColor="text1" w:themeTint="A6"/>
          <w:sz w:val="24"/>
          <w:szCs w:val="24"/>
        </w:rPr>
        <w:t xml:space="preserve">. </w:t>
      </w:r>
    </w:p>
    <w:p w14:paraId="2F0F2E91" w14:textId="019CB59E" w:rsidR="00936642" w:rsidRPr="00395194" w:rsidRDefault="00936642" w:rsidP="00BE5EAF">
      <w:pPr>
        <w:spacing w:before="120" w:after="0" w:line="312" w:lineRule="auto"/>
        <w:jc w:val="both"/>
        <w:rPr>
          <w:rFonts w:ascii="Corbel" w:hAnsi="Corbel"/>
          <w:color w:val="595959" w:themeColor="text1" w:themeTint="A6"/>
          <w:sz w:val="24"/>
          <w:szCs w:val="24"/>
        </w:rPr>
      </w:pPr>
      <w:r w:rsidRPr="00936642">
        <w:rPr>
          <w:rFonts w:ascii="Corbel" w:hAnsi="Corbel"/>
          <w:color w:val="595959" w:themeColor="text1" w:themeTint="A6"/>
          <w:sz w:val="24"/>
          <w:szCs w:val="24"/>
        </w:rPr>
        <w:drawing>
          <wp:inline distT="0" distB="0" distL="0" distR="0" wp14:anchorId="73F017D5" wp14:editId="5CCF3160">
            <wp:extent cx="5900414" cy="3313611"/>
            <wp:effectExtent l="0" t="0" r="5715"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0414" cy="3313611"/>
                    </a:xfrm>
                    <a:prstGeom prst="rect">
                      <a:avLst/>
                    </a:prstGeom>
                  </pic:spPr>
                </pic:pic>
              </a:graphicData>
            </a:graphic>
          </wp:inline>
        </w:drawing>
      </w:r>
    </w:p>
    <w:p w14:paraId="6DCBCC9F" w14:textId="77777777" w:rsidR="00BE5EAF" w:rsidRDefault="0040540C" w:rsidP="00D30E8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 xml:space="preserve">Emission factors for coal and oil (205-214 and </w:t>
      </w:r>
      <w:r w:rsidR="00325C35" w:rsidRPr="00395194">
        <w:rPr>
          <w:rFonts w:ascii="Corbel" w:hAnsi="Corbel"/>
          <w:color w:val="595959" w:themeColor="text1" w:themeTint="A6"/>
          <w:sz w:val="24"/>
          <w:szCs w:val="24"/>
        </w:rPr>
        <w:t>161-210</w:t>
      </w:r>
      <w:r w:rsidRPr="00395194">
        <w:rPr>
          <w:rFonts w:ascii="Corbel" w:hAnsi="Corbel"/>
          <w:color w:val="595959" w:themeColor="text1" w:themeTint="A6"/>
          <w:sz w:val="24"/>
          <w:szCs w:val="24"/>
        </w:rPr>
        <w:t xml:space="preserve"> CO2 </w:t>
      </w:r>
      <w:proofErr w:type="spellStart"/>
      <w:r w:rsidRPr="00395194">
        <w:rPr>
          <w:rFonts w:ascii="Corbel" w:hAnsi="Corbel"/>
          <w:color w:val="595959" w:themeColor="text1" w:themeTint="A6"/>
          <w:sz w:val="24"/>
          <w:szCs w:val="24"/>
        </w:rPr>
        <w:t>lb</w:t>
      </w:r>
      <w:proofErr w:type="spellEnd"/>
      <w:r w:rsidRPr="00395194">
        <w:rPr>
          <w:rFonts w:ascii="Corbel" w:hAnsi="Corbel"/>
          <w:color w:val="595959" w:themeColor="text1" w:themeTint="A6"/>
          <w:sz w:val="24"/>
          <w:szCs w:val="24"/>
        </w:rPr>
        <w:t xml:space="preserve">/MMBtu, respectively) are generally higher than emission factors for natural gas (177 CO2 </w:t>
      </w:r>
      <w:proofErr w:type="spellStart"/>
      <w:r w:rsidRPr="00395194">
        <w:rPr>
          <w:rFonts w:ascii="Corbel" w:hAnsi="Corbel"/>
          <w:color w:val="595959" w:themeColor="text1" w:themeTint="A6"/>
          <w:sz w:val="24"/>
          <w:szCs w:val="24"/>
        </w:rPr>
        <w:t>lb</w:t>
      </w:r>
      <w:proofErr w:type="spellEnd"/>
      <w:r w:rsidRPr="00395194">
        <w:rPr>
          <w:rFonts w:ascii="Corbel" w:hAnsi="Corbel"/>
          <w:color w:val="595959" w:themeColor="text1" w:themeTint="A6"/>
          <w:sz w:val="24"/>
          <w:szCs w:val="24"/>
        </w:rPr>
        <w:t xml:space="preserve">/MMBtu).  With January-March 2015 being much colder than average, and a larger percentage of higher CO2e fuels used, overall CO2 emissions for the state of Connecticut </w:t>
      </w:r>
      <w:r w:rsidR="00325C35" w:rsidRPr="00395194">
        <w:rPr>
          <w:rFonts w:ascii="Corbel" w:hAnsi="Corbel"/>
          <w:color w:val="595959" w:themeColor="text1" w:themeTint="A6"/>
          <w:sz w:val="24"/>
          <w:szCs w:val="24"/>
        </w:rPr>
        <w:t xml:space="preserve">(and throughout </w:t>
      </w:r>
      <w:r w:rsidR="007842B9">
        <w:rPr>
          <w:rFonts w:ascii="Corbel" w:hAnsi="Corbel"/>
          <w:color w:val="595959" w:themeColor="text1" w:themeTint="A6"/>
          <w:sz w:val="24"/>
          <w:szCs w:val="24"/>
        </w:rPr>
        <w:t>Northeast</w:t>
      </w:r>
      <w:r w:rsidR="00325C35" w:rsidRPr="00395194">
        <w:rPr>
          <w:rFonts w:ascii="Corbel" w:hAnsi="Corbel"/>
          <w:color w:val="595959" w:themeColor="text1" w:themeTint="A6"/>
          <w:sz w:val="24"/>
          <w:szCs w:val="24"/>
        </w:rPr>
        <w:t xml:space="preserve"> region) </w:t>
      </w:r>
      <w:r w:rsidRPr="00395194">
        <w:rPr>
          <w:rFonts w:ascii="Corbel" w:hAnsi="Corbel"/>
          <w:color w:val="595959" w:themeColor="text1" w:themeTint="A6"/>
          <w:sz w:val="24"/>
          <w:szCs w:val="24"/>
        </w:rPr>
        <w:t xml:space="preserve">were higher. </w:t>
      </w:r>
    </w:p>
    <w:p w14:paraId="01290BF4" w14:textId="17143DC0" w:rsidR="00D30E8F" w:rsidRPr="00D30E8F" w:rsidRDefault="00D30E8F" w:rsidP="00D30E8F">
      <w:pPr>
        <w:pStyle w:val="BasicParagraph"/>
        <w:spacing w:before="120" w:line="312" w:lineRule="auto"/>
        <w:jc w:val="both"/>
        <w:rPr>
          <w:rFonts w:ascii="Corbel" w:hAnsi="Corbel" w:cs="Tahoma"/>
          <w:b/>
          <w:i/>
          <w:color w:val="686868"/>
          <w:spacing w:val="5"/>
        </w:rPr>
      </w:pPr>
      <w:r>
        <w:rPr>
          <w:rFonts w:ascii="Corbel" w:hAnsi="Corbel" w:cs="Tahoma"/>
          <w:b/>
          <w:i/>
          <w:color w:val="686868"/>
          <w:spacing w:val="5"/>
        </w:rPr>
        <w:t>Economy and Demographics</w:t>
      </w:r>
    </w:p>
    <w:p w14:paraId="3B434A1A" w14:textId="398B6BF0" w:rsidR="00D30E8F" w:rsidRDefault="00D30E8F" w:rsidP="002816B1">
      <w:pPr>
        <w:pStyle w:val="BasicParagraph"/>
        <w:spacing w:before="120" w:line="312" w:lineRule="auto"/>
        <w:jc w:val="both"/>
        <w:rPr>
          <w:rFonts w:ascii="Corbel" w:hAnsi="Corbel" w:cs="Corbel"/>
          <w:color w:val="686868"/>
          <w:spacing w:val="5"/>
        </w:rPr>
      </w:pPr>
      <w:r>
        <w:rPr>
          <w:rFonts w:ascii="Corbel" w:hAnsi="Corbel" w:cs="Corbel"/>
          <w:color w:val="686868"/>
          <w:spacing w:val="5"/>
        </w:rPr>
        <w:t>In Connecticut, t</w:t>
      </w:r>
      <w:r w:rsidR="00AF27EE">
        <w:rPr>
          <w:rFonts w:ascii="Corbel" w:hAnsi="Corbel" w:cs="Corbel"/>
          <w:color w:val="686868"/>
          <w:spacing w:val="5"/>
        </w:rPr>
        <w:t xml:space="preserve">he carbon intensity of the economy </w:t>
      </w:r>
      <w:r w:rsidR="00047129">
        <w:rPr>
          <w:rFonts w:ascii="Corbel" w:hAnsi="Corbel" w:cs="Corbel"/>
          <w:color w:val="686868"/>
          <w:spacing w:val="5"/>
        </w:rPr>
        <w:t>remained the same as 2014 (an increase of less than 1/100</w:t>
      </w:r>
      <w:r w:rsidR="00047129" w:rsidRPr="00047129">
        <w:rPr>
          <w:rFonts w:ascii="Corbel" w:hAnsi="Corbel" w:cs="Corbel"/>
          <w:color w:val="686868"/>
          <w:spacing w:val="5"/>
          <w:vertAlign w:val="superscript"/>
        </w:rPr>
        <w:t>th</w:t>
      </w:r>
      <w:r w:rsidR="002F3E9D">
        <w:rPr>
          <w:rFonts w:ascii="Corbel" w:hAnsi="Corbel" w:cs="Corbel"/>
          <w:color w:val="686868"/>
          <w:spacing w:val="5"/>
        </w:rPr>
        <w:t xml:space="preserve"> of a percentage)</w:t>
      </w:r>
      <w:r w:rsidR="00AF27EE">
        <w:rPr>
          <w:rFonts w:ascii="Corbel" w:hAnsi="Corbel" w:cs="Corbel"/>
          <w:color w:val="686868"/>
          <w:spacing w:val="5"/>
        </w:rPr>
        <w:t xml:space="preserve">. </w:t>
      </w:r>
      <w:r w:rsidR="002F3E9D">
        <w:rPr>
          <w:rFonts w:ascii="Corbel" w:hAnsi="Corbel" w:cs="Corbel"/>
          <w:color w:val="686868"/>
          <w:spacing w:val="5"/>
        </w:rPr>
        <w:t xml:space="preserve"> Even though emissions increase</w:t>
      </w:r>
      <w:r w:rsidR="0059047B">
        <w:rPr>
          <w:rFonts w:ascii="Corbel" w:hAnsi="Corbel" w:cs="Corbel"/>
          <w:color w:val="686868"/>
          <w:spacing w:val="5"/>
        </w:rPr>
        <w:t>d from 2014 to 2015, GDP rose 2</w:t>
      </w:r>
      <w:r w:rsidR="002F3E9D">
        <w:rPr>
          <w:rFonts w:ascii="Corbel" w:hAnsi="Corbel" w:cs="Corbel"/>
          <w:color w:val="686868"/>
          <w:spacing w:val="5"/>
        </w:rPr>
        <w:t>% during that time period as well.</w:t>
      </w:r>
      <w:r>
        <w:rPr>
          <w:rFonts w:ascii="Corbel" w:hAnsi="Corbel" w:cs="Corbel"/>
          <w:color w:val="686868"/>
          <w:spacing w:val="5"/>
        </w:rPr>
        <w:t xml:space="preserve">  GHG per GDP (lbsCO2e /million current dollars) was 0.44, a reduction of 55% relative to 1990.  Connecticut’s 2015 per capita emissions were 27,835 pounds per person, well below the national average of 45,539 pounds per person.</w:t>
      </w:r>
      <w:r>
        <w:rPr>
          <w:rStyle w:val="endnotemarker"/>
          <w:rFonts w:ascii="Corbel" w:hAnsi="Corbel" w:cs="Corbel"/>
          <w:color w:val="686868"/>
          <w:spacing w:val="5"/>
        </w:rPr>
        <w:footnoteReference w:id="8"/>
      </w:r>
      <w:r>
        <w:rPr>
          <w:rFonts w:ascii="Corbel" w:hAnsi="Corbel" w:cs="Corbel"/>
          <w:color w:val="686868"/>
          <w:spacing w:val="5"/>
        </w:rPr>
        <w:t xml:space="preserve">  While the population has been in decline since 2014, 2015 GHG emissions had increased.  The difference in GHG per capita relative to 1990 was -7 percent.  </w:t>
      </w:r>
    </w:p>
    <w:p w14:paraId="4937077F" w14:textId="0750ECCC" w:rsidR="00D30E8F" w:rsidRPr="002816B1" w:rsidRDefault="00431FB4" w:rsidP="002816B1">
      <w:pPr>
        <w:spacing w:before="120" w:after="0" w:line="312" w:lineRule="auto"/>
        <w:jc w:val="both"/>
        <w:rPr>
          <w:rFonts w:ascii="Corbel" w:hAnsi="Corbel" w:cs="Arial"/>
          <w:color w:val="767171" w:themeColor="background2" w:themeShade="80"/>
          <w:sz w:val="23"/>
          <w:szCs w:val="23"/>
          <w:lang w:val="en"/>
        </w:rPr>
      </w:pPr>
      <w:r w:rsidRPr="002816B1">
        <w:rPr>
          <w:rFonts w:ascii="Corbel" w:hAnsi="Corbel" w:cs="Corbel"/>
          <w:color w:val="767171" w:themeColor="background2" w:themeShade="80"/>
          <w:spacing w:val="5"/>
        </w:rPr>
        <w:lastRenderedPageBreak/>
        <w:t xml:space="preserve">The </w:t>
      </w:r>
      <w:r w:rsidRPr="002816B1">
        <w:rPr>
          <w:rFonts w:ascii="Corbel" w:hAnsi="Corbel"/>
          <w:color w:val="767171" w:themeColor="background2" w:themeShade="80"/>
          <w:sz w:val="24"/>
          <w:szCs w:val="24"/>
        </w:rPr>
        <w:t xml:space="preserve">shutdown of </w:t>
      </w:r>
      <w:r w:rsidRPr="002816B1">
        <w:rPr>
          <w:rFonts w:ascii="Corbel" w:hAnsi="Corbel" w:cs="Arial"/>
          <w:color w:val="767171" w:themeColor="background2" w:themeShade="80"/>
          <w:sz w:val="24"/>
          <w:szCs w:val="24"/>
          <w:lang w:val="en"/>
        </w:rPr>
        <w:t>the 620-MW Vermont Yankee Nuclear power plant in December 2014 was another likely reason for emissions across the region being higher than in previous years</w:t>
      </w:r>
      <w:r w:rsidRPr="002816B1">
        <w:rPr>
          <w:rFonts w:ascii="Corbel" w:hAnsi="Corbel" w:cs="Arial"/>
          <w:color w:val="767171" w:themeColor="background2" w:themeShade="80"/>
          <w:sz w:val="23"/>
          <w:szCs w:val="23"/>
          <w:lang w:val="en"/>
        </w:rPr>
        <w:t>.  For the ISO-NE region, the % of energy supplied from nuclear sources dro</w:t>
      </w:r>
      <w:r w:rsidR="002816B1">
        <w:rPr>
          <w:rFonts w:ascii="Corbel" w:hAnsi="Corbel" w:cs="Arial"/>
          <w:color w:val="767171" w:themeColor="background2" w:themeShade="80"/>
          <w:sz w:val="23"/>
          <w:szCs w:val="23"/>
          <w:lang w:val="en"/>
        </w:rPr>
        <w:t xml:space="preserve">pped by 4% from 2014 to 2015.  </w:t>
      </w:r>
    </w:p>
    <w:p w14:paraId="229B8799" w14:textId="776868CD" w:rsidR="002B4F3C" w:rsidRPr="00D84F41" w:rsidRDefault="002B4F3C" w:rsidP="002816B1">
      <w:pPr>
        <w:pStyle w:val="BasicParagraph"/>
        <w:spacing w:before="120" w:line="312" w:lineRule="auto"/>
        <w:jc w:val="both"/>
        <w:rPr>
          <w:rFonts w:ascii="Corbel" w:hAnsi="Corbel" w:cs="Tahoma"/>
          <w:b/>
          <w:i/>
          <w:color w:val="686868"/>
          <w:spacing w:val="5"/>
        </w:rPr>
      </w:pPr>
      <w:r w:rsidRPr="00D84F41">
        <w:rPr>
          <w:rFonts w:ascii="Corbel" w:hAnsi="Corbel" w:cs="Tahoma"/>
          <w:b/>
          <w:i/>
          <w:color w:val="686868"/>
          <w:spacing w:val="5"/>
        </w:rPr>
        <w:t>2016 GHG</w:t>
      </w:r>
    </w:p>
    <w:p w14:paraId="63336030" w14:textId="58664103" w:rsidR="002B4F3C" w:rsidRPr="002816B1" w:rsidRDefault="002B4F3C" w:rsidP="002816B1">
      <w:pPr>
        <w:spacing w:before="120" w:after="0" w:line="312" w:lineRule="auto"/>
        <w:jc w:val="both"/>
        <w:rPr>
          <w:rFonts w:ascii="Corbel" w:hAnsi="Corbel"/>
          <w:color w:val="767171" w:themeColor="background2" w:themeShade="80"/>
          <w:sz w:val="24"/>
          <w:szCs w:val="24"/>
        </w:rPr>
      </w:pPr>
      <w:r w:rsidRPr="002816B1">
        <w:rPr>
          <w:rFonts w:ascii="Corbel" w:hAnsi="Corbel"/>
          <w:color w:val="767171" w:themeColor="background2" w:themeShade="80"/>
          <w:sz w:val="24"/>
          <w:szCs w:val="24"/>
        </w:rPr>
        <w:t>Total U.S. emissions decreased from 2015 to 2016 by 1.9%.</w:t>
      </w:r>
      <w:r w:rsidRPr="002816B1">
        <w:rPr>
          <w:rFonts w:ascii="Corbel" w:hAnsi="Corbel"/>
          <w:color w:val="767171" w:themeColor="background2" w:themeShade="80"/>
          <w:sz w:val="24"/>
          <w:szCs w:val="24"/>
          <w:vertAlign w:val="superscript"/>
        </w:rPr>
        <w:footnoteReference w:id="9"/>
      </w:r>
      <w:r w:rsidRPr="002816B1">
        <w:rPr>
          <w:rFonts w:ascii="Corbel" w:hAnsi="Corbel"/>
          <w:color w:val="767171" w:themeColor="background2" w:themeShade="80"/>
          <w:sz w:val="24"/>
          <w:szCs w:val="24"/>
        </w:rPr>
        <w:t xml:space="preserve"> The decrease in CO2 emissions from fossil fuel combustion was largely due to large scale substitution from coal to natural gas and other non-fossil energy sources in the electric power sector; and warmer winter conditions in 2016 resulting in a decreased demand for heating fuel in the residential and commercial sectors.  </w:t>
      </w:r>
      <w:r w:rsidR="009C1CBC" w:rsidRPr="002816B1">
        <w:rPr>
          <w:rFonts w:ascii="Corbel" w:hAnsi="Corbel"/>
          <w:color w:val="767171" w:themeColor="background2" w:themeShade="80"/>
          <w:sz w:val="24"/>
          <w:szCs w:val="24"/>
        </w:rPr>
        <w:t>This was also true for Connecticut, where winter temperatures were 5-6 degrees Fahrenheit above average.</w:t>
      </w:r>
    </w:p>
    <w:p w14:paraId="2A78AB24" w14:textId="77777777" w:rsidR="00936794" w:rsidRDefault="00936794" w:rsidP="00936794">
      <w:pPr>
        <w:pStyle w:val="BasicParagraph"/>
        <w:spacing w:before="280" w:line="312" w:lineRule="auto"/>
        <w:rPr>
          <w:rFonts w:ascii="Corbel" w:hAnsi="Corbel" w:cs="Corbel"/>
          <w:color w:val="686868"/>
          <w:spacing w:val="5"/>
        </w:rPr>
      </w:pPr>
      <w:r>
        <w:rPr>
          <w:rFonts w:ascii="Tahoma" w:hAnsi="Tahoma" w:cs="Tahoma"/>
          <w:b/>
          <w:bCs/>
          <w:color w:val="686868"/>
        </w:rPr>
        <w:t xml:space="preserve">GHG Emission Reduction Strategies Currently Underway </w:t>
      </w:r>
    </w:p>
    <w:p w14:paraId="724A402B"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Connecticut is implementing a suite of complementary strategies to ensure that the state is on a course to achieve its near-term 2020 reduction goal. The range of GHG reduction actions include direct regulations, monetary and non-monetary incentives, market-based mechanisms, and recognition for voluntary actions. </w:t>
      </w:r>
    </w:p>
    <w:p w14:paraId="258CA563"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The following programs, strategies, and policy initiatives are just a few examples of current efforts driving the state’s emissions down between now and 2020. These initiatives offer a foundational framework to build upon as additional strategies are developed to further reduce emissions beyond 2020.</w:t>
      </w:r>
    </w:p>
    <w:p w14:paraId="1FB192DF"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2017 Comprehensive Energy Strategy</w:t>
      </w:r>
    </w:p>
    <w:p w14:paraId="7A5C288F"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Connecticut will need to continue to scale investments that drive down GHG emissions in order to meet the ambitious requirements of the Global Warming Solutions Act, both in the near- and long-term (2020 and 2050), particularly in light of the updated 2013 Summary showing an uptick in 2013 emissions. The 2016 Comprehensive Energy Strategy will evaluate GHG mitigation options on all of these time horizons, and will emphasize any additional near term strategies that may be needed to ensure compliance with the 2020 goal. </w:t>
      </w:r>
    </w:p>
    <w:p w14:paraId="3C8CF4F4"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lastRenderedPageBreak/>
        <w:t>Energy Efficiency</w:t>
      </w:r>
      <w:r>
        <w:rPr>
          <w:rFonts w:ascii="Corbel" w:hAnsi="Corbel" w:cs="Corbel"/>
          <w:i/>
          <w:iCs/>
          <w:color w:val="686868"/>
          <w:spacing w:val="5"/>
        </w:rPr>
        <w:t xml:space="preserve"> </w:t>
      </w:r>
    </w:p>
    <w:p w14:paraId="069E09FD"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Connecticut Energy Efficiency Fund supports a variety of programs that provide financial incentives to help Connecticut consumers reduce the amount of energy used in their homes and businesses. Investment in energy efficiency programs has doubled since 2013, implementing a key recommendation of the 2013 Comprehensive Energy Strategy. At this increased level of investment, expected lifetime GHG reductions from the state’s energy efficiency programs will be 3.2 MMTCO</w:t>
      </w:r>
      <w:r>
        <w:rPr>
          <w:rFonts w:ascii="Corbel" w:hAnsi="Corbel" w:cs="Corbel"/>
          <w:color w:val="686868"/>
          <w:spacing w:val="5"/>
          <w:position w:val="4"/>
          <w:vertAlign w:val="subscript"/>
        </w:rPr>
        <w:t>2</w:t>
      </w:r>
      <w:r>
        <w:rPr>
          <w:rFonts w:ascii="Corbel" w:hAnsi="Corbel" w:cs="Corbel"/>
          <w:color w:val="686868"/>
          <w:spacing w:val="5"/>
        </w:rPr>
        <w:t>e.</w:t>
      </w:r>
    </w:p>
    <w:p w14:paraId="77F1DE1D" w14:textId="77777777" w:rsidR="00936794" w:rsidRDefault="00936794" w:rsidP="00936794">
      <w:pPr>
        <w:pStyle w:val="BasicParagraph"/>
        <w:spacing w:before="120" w:line="312" w:lineRule="auto"/>
        <w:jc w:val="both"/>
        <w:rPr>
          <w:rFonts w:ascii="Corbel" w:hAnsi="Corbel" w:cs="Corbel"/>
          <w:b/>
          <w:bCs/>
          <w:i/>
          <w:iCs/>
          <w:color w:val="686868"/>
          <w:spacing w:val="5"/>
        </w:rPr>
      </w:pPr>
      <w:r>
        <w:rPr>
          <w:rFonts w:ascii="Corbel" w:hAnsi="Corbel" w:cs="Corbel"/>
          <w:b/>
          <w:bCs/>
          <w:i/>
          <w:iCs/>
          <w:color w:val="686868"/>
          <w:spacing w:val="5"/>
        </w:rPr>
        <w:t>Connecticut Hydrogen and Electric Automobile Purchase Rebate (CHEAPR)</w:t>
      </w:r>
    </w:p>
    <w:p w14:paraId="14E2E903"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Through the CHEAPR program, DEEP offers rebates of up to $5,000 for Connecticut residents who purchase or lease a new eligible battery electric, plug-in hybrid electric, or fuel cell electric vehicle. In just over a year’s time, these rebates have supported purchases of more than 750 vehicles.</w:t>
      </w:r>
      <w:r>
        <w:rPr>
          <w:rStyle w:val="endnotemarker"/>
          <w:rFonts w:ascii="Corbel" w:hAnsi="Corbel" w:cs="Corbel"/>
          <w:color w:val="686868"/>
          <w:spacing w:val="5"/>
        </w:rPr>
        <w:t>7</w:t>
      </w:r>
      <w:r>
        <w:rPr>
          <w:rFonts w:ascii="Corbel" w:hAnsi="Corbel" w:cs="Corbel"/>
          <w:color w:val="686868"/>
          <w:spacing w:val="5"/>
        </w:rPr>
        <w:t xml:space="preserve"> </w:t>
      </w:r>
    </w:p>
    <w:p w14:paraId="6011CFE9"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Zero Emission Vehicle (ZEV) Memorandum of Understanding</w:t>
      </w:r>
    </w:p>
    <w:p w14:paraId="266203D9"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Connecticut is one of seven states committed to putting 3.3 million ZEVs on the road by 2025. Connecticut is implementing the steps laid out in the Multi-State Action Plan which focuses on developing ZEV infrastructure and supporting policies, codes, and standards to advance the deployment of ZEVs. With the implementation of the revised travel provision, ZEV sales in Connecticut and other New England states are expected to increase beginning in 2017.</w:t>
      </w:r>
      <w:r>
        <w:rPr>
          <w:rFonts w:ascii="Corbel" w:hAnsi="Corbel" w:cs="Corbel"/>
          <w:color w:val="686868"/>
          <w:spacing w:val="5"/>
          <w:vertAlign w:val="superscript"/>
        </w:rPr>
        <w:t>8</w:t>
      </w:r>
    </w:p>
    <w:p w14:paraId="193A6C62"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Renewable Portfolio Standard (RPS)</w:t>
      </w:r>
    </w:p>
    <w:p w14:paraId="715CA931"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Malloy Administration has embraced the use of open, competitive procurements of renewables and large-scale hydropower through long-term contracts as the best way to secure investment in new clean generation at the least cost to the state’s ratepayers. A new, 20 MW solar facility in Sprague, CT, that was contracted under Section 6 of Public Act 13-303 is expected to come online in January 2017. Currently, DEEP is considering more than 100 bids submitted in two historic RFPs for clean energy projects of different size classes that could be selected for long-term contracts pursuant to Public Acts 13-303 and 15-</w:t>
      </w:r>
      <w:proofErr w:type="gramStart"/>
      <w:r>
        <w:rPr>
          <w:rFonts w:ascii="Corbel" w:hAnsi="Corbel" w:cs="Corbel"/>
          <w:color w:val="686868"/>
          <w:spacing w:val="5"/>
        </w:rPr>
        <w:t>107.</w:t>
      </w:r>
      <w:proofErr w:type="gramEnd"/>
      <w:r>
        <w:rPr>
          <w:rFonts w:ascii="Corbel" w:hAnsi="Corbel" w:cs="Corbel"/>
          <w:color w:val="686868"/>
          <w:spacing w:val="5"/>
        </w:rPr>
        <w:t xml:space="preserve"> Under those statutes, CT DEEP has the authority to contract for up to 4,250 </w:t>
      </w:r>
      <w:proofErr w:type="spellStart"/>
      <w:r>
        <w:rPr>
          <w:rFonts w:ascii="Corbel" w:hAnsi="Corbel" w:cs="Corbel"/>
          <w:color w:val="686868"/>
          <w:spacing w:val="5"/>
        </w:rPr>
        <w:t>GWh</w:t>
      </w:r>
      <w:proofErr w:type="spellEnd"/>
      <w:r>
        <w:rPr>
          <w:rFonts w:ascii="Corbel" w:hAnsi="Corbel" w:cs="Corbel"/>
          <w:color w:val="686868"/>
          <w:spacing w:val="5"/>
        </w:rPr>
        <w:t>, or approximately 15% of the state’s electricity demand, from clean energy resources. Bid selections are expected in the fall of 2016, and winning projects must be online by 2020.</w:t>
      </w:r>
    </w:p>
    <w:p w14:paraId="0AD3A27B"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Rooftop Solar Deployment</w:t>
      </w:r>
    </w:p>
    <w:p w14:paraId="740D0EE3"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lastRenderedPageBreak/>
        <w:t>The Connecticut Green Bank, established in 2011, has pioneered multiple programs to expand the deployment of rooftop solar photovoltaics (PV) in Connecticut, while driving down installed costs and ratepayer incentives. A program goal of installing 30 MW of rooftop solar PV under the Residential Solar Incentive Program was met in 2015, 8 years early. Public Act 15-194 requires the Connecticut Green Bank to offer incentives to support the deployment of 300 MW of residential solar by 2022. The Green Bank is partnering with the state’s electric utilities in the Solar Homes Renewable Energy Credit program to enable purchase of long-term contracts for Renewable Energy Credits produced from a homeowners’ solar system, making solar more accessible and affordable to ratepayers throughout the state.</w:t>
      </w:r>
    </w:p>
    <w:p w14:paraId="3401223C"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Shared Clean Energy Facilities</w:t>
      </w:r>
    </w:p>
    <w:p w14:paraId="2A8B36BC"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Public Act 15-113 requires DEEP to establish a two-year pilot program for shared clean energy facilities, including solar, fuel cells, geothermal, hydroelectric and other renewables. Multiple customers will be able to contract a percentage or set amount of the electricity produced from these facilities. Projects selected in this pilot program must be online by 2019.</w:t>
      </w:r>
    </w:p>
    <w:p w14:paraId="39BF8318" w14:textId="77777777" w:rsidR="00936794" w:rsidRDefault="00936794" w:rsidP="00936794">
      <w:pPr>
        <w:pStyle w:val="BasicParagraph"/>
        <w:spacing w:before="120" w:line="312" w:lineRule="auto"/>
        <w:jc w:val="both"/>
        <w:rPr>
          <w:rFonts w:ascii="Corbel" w:hAnsi="Corbel" w:cs="Corbel"/>
          <w:b/>
          <w:bCs/>
          <w:i/>
          <w:iCs/>
          <w:color w:val="686868"/>
          <w:spacing w:val="5"/>
        </w:rPr>
      </w:pPr>
      <w:r>
        <w:rPr>
          <w:rFonts w:ascii="Corbel" w:hAnsi="Corbel" w:cs="Corbel"/>
          <w:b/>
          <w:bCs/>
          <w:i/>
          <w:iCs/>
          <w:color w:val="686868"/>
          <w:spacing w:val="5"/>
        </w:rPr>
        <w:t xml:space="preserve"> </w:t>
      </w:r>
    </w:p>
    <w:p w14:paraId="0314FD6C" w14:textId="77777777" w:rsidR="00AF27EE" w:rsidRDefault="00AF27EE"/>
    <w:sectPr w:rsidR="00AF27EE" w:rsidSect="00936794">
      <w:pgSz w:w="12240" w:h="15840"/>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y Lynch" w:date="2018-10-05T15:30:00Z" w:initials="CL">
    <w:p w14:paraId="00F9C2E8" w14:textId="6CB61909" w:rsidR="002816B1" w:rsidRDefault="002816B1">
      <w:pPr>
        <w:pStyle w:val="CommentText"/>
      </w:pPr>
      <w:r>
        <w:rPr>
          <w:rStyle w:val="CommentReference"/>
        </w:rPr>
        <w:annotationRef/>
      </w:r>
      <w:r>
        <w:t>How much detail should be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F9C2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EF400" w14:textId="77777777" w:rsidR="002816B1" w:rsidRDefault="002816B1" w:rsidP="00936794">
      <w:pPr>
        <w:spacing w:after="0" w:line="240" w:lineRule="auto"/>
      </w:pPr>
      <w:r>
        <w:separator/>
      </w:r>
    </w:p>
  </w:endnote>
  <w:endnote w:type="continuationSeparator" w:id="0">
    <w:p w14:paraId="5878A392" w14:textId="77777777" w:rsidR="002816B1" w:rsidRDefault="002816B1" w:rsidP="0093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67013" w14:textId="77777777" w:rsidR="002816B1" w:rsidRDefault="002816B1" w:rsidP="00936794">
      <w:pPr>
        <w:spacing w:after="0" w:line="240" w:lineRule="auto"/>
      </w:pPr>
      <w:r>
        <w:separator/>
      </w:r>
    </w:p>
  </w:footnote>
  <w:footnote w:type="continuationSeparator" w:id="0">
    <w:p w14:paraId="7D69A55B" w14:textId="77777777" w:rsidR="002816B1" w:rsidRDefault="002816B1" w:rsidP="00936794">
      <w:pPr>
        <w:spacing w:after="0" w:line="240" w:lineRule="auto"/>
      </w:pPr>
      <w:r>
        <w:continuationSeparator/>
      </w:r>
    </w:p>
  </w:footnote>
  <w:footnote w:id="1">
    <w:p w14:paraId="4D629DE8" w14:textId="77777777" w:rsidR="002816B1" w:rsidRDefault="002816B1" w:rsidP="00936794">
      <w:pPr>
        <w:pStyle w:val="endnote"/>
        <w:rPr>
          <w:sz w:val="20"/>
          <w:szCs w:val="20"/>
        </w:rPr>
      </w:pPr>
      <w:r>
        <w:rPr>
          <w:vertAlign w:val="superscript"/>
        </w:rPr>
        <w:footnoteRef/>
      </w:r>
      <w:r>
        <w:rPr>
          <w:color w:val="686868"/>
          <w:sz w:val="20"/>
          <w:szCs w:val="20"/>
        </w:rPr>
        <w:t xml:space="preserve"> The Department of Energy and Environmental Protection (DEEP) greenhouse gas inventory relies in part on emissions data from U.S. EPA’s State Inventory Tool. EPA released data from January-December 2014 in February 2017.</w:t>
      </w:r>
      <w:r>
        <w:rPr>
          <w:sz w:val="20"/>
          <w:szCs w:val="20"/>
        </w:rPr>
        <w:tab/>
      </w:r>
    </w:p>
    <w:p w14:paraId="5B50BDE6" w14:textId="77777777" w:rsidR="002816B1" w:rsidRDefault="002816B1" w:rsidP="00936794">
      <w:pPr>
        <w:pStyle w:val="endnote"/>
      </w:pPr>
    </w:p>
  </w:footnote>
  <w:footnote w:id="2">
    <w:p w14:paraId="4391FA9E" w14:textId="77777777" w:rsidR="002816B1" w:rsidRDefault="002816B1" w:rsidP="00936794">
      <w:pPr>
        <w:pStyle w:val="endnote"/>
        <w:rPr>
          <w:color w:val="686868"/>
          <w:sz w:val="20"/>
          <w:szCs w:val="20"/>
        </w:rPr>
      </w:pPr>
      <w:r>
        <w:rPr>
          <w:vertAlign w:val="superscript"/>
        </w:rPr>
        <w:footnoteRef/>
      </w:r>
      <w:r>
        <w:rPr>
          <w:color w:val="686868"/>
          <w:sz w:val="20"/>
          <w:szCs w:val="20"/>
        </w:rPr>
        <w:t xml:space="preserve"> For further explanation of the two methodological approaches, see the 2013 inventory report, http://www.ct.gov/deep/lib/deep/climatechange/2012_ghg_inventory_2015/ct_2013_ghg_inventory.pdf.</w:t>
      </w:r>
    </w:p>
    <w:p w14:paraId="524865F9" w14:textId="77777777" w:rsidR="002816B1" w:rsidRDefault="002816B1" w:rsidP="00936794">
      <w:pPr>
        <w:pStyle w:val="endnote"/>
      </w:pPr>
    </w:p>
  </w:footnote>
  <w:footnote w:id="3">
    <w:p w14:paraId="4287F02E" w14:textId="77777777" w:rsidR="002816B1" w:rsidRDefault="002816B1" w:rsidP="00AF27EE">
      <w:pPr>
        <w:pStyle w:val="endnote"/>
        <w:rPr>
          <w:color w:val="686868"/>
          <w:sz w:val="20"/>
          <w:szCs w:val="20"/>
        </w:rPr>
      </w:pPr>
      <w:r>
        <w:rPr>
          <w:vertAlign w:val="superscript"/>
        </w:rPr>
        <w:footnoteRef/>
      </w:r>
      <w:r>
        <w:rPr>
          <w:color w:val="686868"/>
          <w:sz w:val="20"/>
          <w:szCs w:val="20"/>
        </w:rPr>
        <w:t xml:space="preserve"> Emissions are reported in terms of carbon dioxide equivalence (CO2e). Carbon dioxide is the primary GHG. Emissions of other GHGs are expressed on the basis of their potential to contribute to global warming, relative to carbon dioxide’s potential.</w:t>
      </w:r>
    </w:p>
    <w:p w14:paraId="7415DA64" w14:textId="77777777" w:rsidR="002816B1" w:rsidRDefault="002816B1" w:rsidP="00AF27EE">
      <w:pPr>
        <w:pStyle w:val="endnote"/>
      </w:pPr>
    </w:p>
  </w:footnote>
  <w:footnote w:id="4">
    <w:p w14:paraId="1D826DE3" w14:textId="77777777" w:rsidR="002816B1" w:rsidRDefault="002816B1" w:rsidP="00D11F97">
      <w:pPr>
        <w:pStyle w:val="endnote"/>
        <w:rPr>
          <w:color w:val="686868"/>
          <w:sz w:val="20"/>
          <w:szCs w:val="20"/>
        </w:rPr>
      </w:pPr>
      <w:r>
        <w:rPr>
          <w:vertAlign w:val="superscript"/>
        </w:rPr>
        <w:footnoteRef/>
      </w:r>
      <w:r>
        <w:rPr>
          <w:color w:val="686868"/>
          <w:sz w:val="20"/>
          <w:szCs w:val="20"/>
        </w:rPr>
        <w:t xml:space="preserve"> The average fuel efficiency of U.S. light-duty vehicles (mpg) (calendar year) have increased 15% </w:t>
      </w:r>
      <w:proofErr w:type="gramStart"/>
      <w:r>
        <w:rPr>
          <w:color w:val="686868"/>
          <w:sz w:val="20"/>
          <w:szCs w:val="20"/>
        </w:rPr>
        <w:t>between 1990-2015</w:t>
      </w:r>
      <w:proofErr w:type="gramEnd"/>
      <w:r>
        <w:rPr>
          <w:color w:val="686868"/>
          <w:sz w:val="20"/>
          <w:szCs w:val="20"/>
        </w:rPr>
        <w:t>. Bureau of Transportation Statistics.</w:t>
      </w:r>
    </w:p>
    <w:p w14:paraId="2FBE51CE" w14:textId="77777777" w:rsidR="002816B1" w:rsidRDefault="002816B1" w:rsidP="00D11F97">
      <w:pPr>
        <w:pStyle w:val="endnote"/>
      </w:pPr>
    </w:p>
  </w:footnote>
  <w:footnote w:id="5">
    <w:p w14:paraId="33550DBD" w14:textId="77777777" w:rsidR="002816B1" w:rsidRDefault="002816B1" w:rsidP="00D11F97">
      <w:pPr>
        <w:pStyle w:val="endnote"/>
        <w:rPr>
          <w:color w:val="686868"/>
          <w:sz w:val="20"/>
          <w:szCs w:val="20"/>
        </w:rPr>
      </w:pPr>
      <w:r>
        <w:rPr>
          <w:vertAlign w:val="superscript"/>
        </w:rPr>
        <w:footnoteRef/>
      </w:r>
      <w:r>
        <w:rPr>
          <w:color w:val="686868"/>
          <w:sz w:val="20"/>
          <w:szCs w:val="20"/>
        </w:rPr>
        <w:t xml:space="preserve"> Vehicle miles traveled have increased 24% from 1990-2015 in CT. CT Department of Transportation, “Transportation data set 8_22_18.”</w:t>
      </w:r>
    </w:p>
    <w:p w14:paraId="60FCC8D6" w14:textId="77777777" w:rsidR="002816B1" w:rsidRDefault="002816B1" w:rsidP="00D11F97">
      <w:pPr>
        <w:pStyle w:val="endnote"/>
      </w:pPr>
    </w:p>
  </w:footnote>
  <w:footnote w:id="6">
    <w:p w14:paraId="3CC4C858" w14:textId="06374E5A" w:rsidR="002816B1" w:rsidRPr="00395194" w:rsidRDefault="002816B1" w:rsidP="00BE2741">
      <w:pPr>
        <w:pStyle w:val="Footer"/>
        <w:rPr>
          <w:rFonts w:ascii="Minion Pro" w:hAnsi="Minion Pro"/>
          <w:color w:val="7F7F7F" w:themeColor="text1" w:themeTint="80"/>
          <w:sz w:val="20"/>
          <w:szCs w:val="20"/>
        </w:rPr>
      </w:pPr>
      <w:r w:rsidRPr="00395194">
        <w:rPr>
          <w:rStyle w:val="FootnoteReference"/>
          <w:rFonts w:ascii="Minion Pro" w:hAnsi="Minion Pro"/>
          <w:color w:val="7F7F7F" w:themeColor="text1" w:themeTint="80"/>
          <w:sz w:val="20"/>
          <w:szCs w:val="20"/>
        </w:rPr>
        <w:footnoteRef/>
      </w:r>
      <w:r w:rsidRPr="00395194">
        <w:rPr>
          <w:rFonts w:ascii="Minion Pro" w:hAnsi="Minion Pro"/>
          <w:color w:val="7F7F7F" w:themeColor="text1" w:themeTint="80"/>
          <w:sz w:val="20"/>
          <w:szCs w:val="20"/>
        </w:rPr>
        <w:t xml:space="preserve"> </w:t>
      </w:r>
      <w:r w:rsidRPr="00395194">
        <w:rPr>
          <w:rFonts w:ascii="Minion Pro" w:hAnsi="Minion Pro" w:cs="Times New Roman"/>
          <w:color w:val="7F7F7F" w:themeColor="text1" w:themeTint="80"/>
          <w:sz w:val="20"/>
          <w:szCs w:val="20"/>
        </w:rPr>
        <w:t>The National Oceanic and Atmospheric Administration’s National Climate Data Center daily station summaries, 1990-2015. https://gis.ncdc.noaa.gov/maps/ncei/summaries/daily</w:t>
      </w:r>
    </w:p>
    <w:p w14:paraId="09B1240C" w14:textId="58E3F898" w:rsidR="002816B1" w:rsidRPr="00395194" w:rsidRDefault="002816B1">
      <w:pPr>
        <w:pStyle w:val="FootnoteText"/>
        <w:rPr>
          <w:rFonts w:ascii="Minion Pro" w:hAnsi="Minion Pro"/>
          <w:color w:val="7F7F7F" w:themeColor="text1" w:themeTint="80"/>
        </w:rPr>
      </w:pPr>
    </w:p>
  </w:footnote>
  <w:footnote w:id="7">
    <w:p w14:paraId="6B33CF2C" w14:textId="6EFF4FD2" w:rsidR="002816B1" w:rsidRDefault="002816B1" w:rsidP="00D044F7">
      <w:r>
        <w:rPr>
          <w:rStyle w:val="FootnoteReference"/>
        </w:rPr>
        <w:footnoteRef/>
      </w:r>
      <w:r>
        <w:t xml:space="preserve"> </w:t>
      </w:r>
      <w:r w:rsidRPr="00D044F7">
        <w:rPr>
          <w:color w:val="495B64"/>
          <w:sz w:val="21"/>
          <w:szCs w:val="21"/>
        </w:rPr>
        <w:t>2015 ISO New England Electric Generator Air Emissions Report</w:t>
      </w:r>
      <w:r>
        <w:rPr>
          <w:color w:val="495B64"/>
          <w:sz w:val="21"/>
          <w:szCs w:val="21"/>
        </w:rPr>
        <w:t>, prepared on 1-5-</w:t>
      </w:r>
      <w:proofErr w:type="gramStart"/>
      <w:r>
        <w:rPr>
          <w:color w:val="495B64"/>
          <w:sz w:val="21"/>
          <w:szCs w:val="21"/>
        </w:rPr>
        <w:t>2016</w:t>
      </w:r>
      <w:r w:rsidRPr="00D044F7">
        <w:rPr>
          <w:color w:val="495B64"/>
          <w:sz w:val="21"/>
          <w:szCs w:val="21"/>
        </w:rPr>
        <w:t xml:space="preserve"> </w:t>
      </w:r>
      <w:r>
        <w:rPr>
          <w:rFonts w:ascii="Minion Pro" w:hAnsi="Minion Pro"/>
          <w:sz w:val="20"/>
          <w:szCs w:val="20"/>
        </w:rPr>
        <w:t>.</w:t>
      </w:r>
      <w:proofErr w:type="gramEnd"/>
      <w:r>
        <w:rPr>
          <w:rFonts w:ascii="Minion Pro" w:hAnsi="Minion Pro"/>
          <w:sz w:val="20"/>
          <w:szCs w:val="20"/>
        </w:rPr>
        <w:t xml:space="preserve">  </w:t>
      </w:r>
      <w:r w:rsidRPr="00D044F7">
        <w:rPr>
          <w:rFonts w:ascii="Minion Pro" w:hAnsi="Minion Pro"/>
          <w:sz w:val="20"/>
          <w:szCs w:val="20"/>
        </w:rPr>
        <w:t>https://www.iso-ne.com/static-assets/documents/2017/01/2015_emissions_report.pdf</w:t>
      </w:r>
    </w:p>
  </w:footnote>
  <w:footnote w:id="8">
    <w:p w14:paraId="1F7EACFA" w14:textId="77777777" w:rsidR="002816B1" w:rsidRDefault="002816B1" w:rsidP="00D30E8F">
      <w:pPr>
        <w:pStyle w:val="endnote"/>
        <w:rPr>
          <w:color w:val="686868"/>
          <w:sz w:val="20"/>
          <w:szCs w:val="20"/>
        </w:rPr>
      </w:pPr>
      <w:r>
        <w:rPr>
          <w:vertAlign w:val="superscript"/>
        </w:rPr>
        <w:footnoteRef/>
      </w:r>
      <w:r>
        <w:rPr>
          <w:color w:val="686868"/>
          <w:sz w:val="20"/>
          <w:szCs w:val="20"/>
        </w:rPr>
        <w:t xml:space="preserve"> U.S. figure based on U.S. EPA, “Inventory of U.S. Greenhouse Gas Emissions and Sinks: 1990-2016 – Executive Summary,” </w:t>
      </w:r>
      <w:r w:rsidRPr="00E45B1E">
        <w:rPr>
          <w:color w:val="686868"/>
          <w:sz w:val="20"/>
          <w:szCs w:val="20"/>
        </w:rPr>
        <w:t>https://www.epa.gov/sites/production/files/2018-01/documents/2018_executive_summary.pdf</w:t>
      </w:r>
      <w:r>
        <w:rPr>
          <w:color w:val="686868"/>
          <w:sz w:val="20"/>
          <w:szCs w:val="20"/>
        </w:rPr>
        <w:t>, p. ES-16.</w:t>
      </w:r>
      <w:r>
        <w:rPr>
          <w:color w:val="686868"/>
          <w:sz w:val="20"/>
          <w:szCs w:val="20"/>
        </w:rPr>
        <w:tab/>
      </w:r>
    </w:p>
    <w:p w14:paraId="59BEAB04" w14:textId="77777777" w:rsidR="002816B1" w:rsidRDefault="002816B1" w:rsidP="00D30E8F">
      <w:pPr>
        <w:pStyle w:val="endnote"/>
      </w:pPr>
    </w:p>
  </w:footnote>
  <w:footnote w:id="9">
    <w:p w14:paraId="22685A04" w14:textId="77777777" w:rsidR="002816B1" w:rsidRDefault="002816B1" w:rsidP="002B4F3C">
      <w:pPr>
        <w:pStyle w:val="endnote"/>
        <w:rPr>
          <w:color w:val="686868"/>
          <w:sz w:val="20"/>
          <w:szCs w:val="20"/>
        </w:rPr>
      </w:pPr>
      <w:r>
        <w:rPr>
          <w:vertAlign w:val="superscript"/>
        </w:rPr>
        <w:footnoteRef/>
      </w:r>
      <w:r>
        <w:rPr>
          <w:color w:val="686868"/>
          <w:sz w:val="20"/>
          <w:szCs w:val="20"/>
        </w:rPr>
        <w:t xml:space="preserve"> U.S. figure based on U.S. EPA, “Inventory of U.S. Greenhouse Gas Emissions and Sinks: 1990-2016 – Executive Summary,” </w:t>
      </w:r>
      <w:r w:rsidRPr="00E45B1E">
        <w:rPr>
          <w:color w:val="686868"/>
          <w:sz w:val="20"/>
          <w:szCs w:val="20"/>
        </w:rPr>
        <w:t>https://www.epa.gov/sites/production/files/2018-01/documents/2018_executive_summary.pdf</w:t>
      </w:r>
      <w:r>
        <w:rPr>
          <w:color w:val="686868"/>
          <w:sz w:val="20"/>
          <w:szCs w:val="20"/>
        </w:rPr>
        <w:tab/>
      </w:r>
    </w:p>
    <w:p w14:paraId="18522166" w14:textId="77777777" w:rsidR="002816B1" w:rsidRDefault="002816B1" w:rsidP="002B4F3C">
      <w:pPr>
        <w:pStyle w:val="endnote"/>
      </w:pP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y Lynch">
    <w15:presenceInfo w15:providerId="AD" w15:userId="S-1-5-21-1668284364-3927605653-1505094145-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94"/>
    <w:rsid w:val="00021B3A"/>
    <w:rsid w:val="00047129"/>
    <w:rsid w:val="000A772B"/>
    <w:rsid w:val="000B46BC"/>
    <w:rsid w:val="000E117A"/>
    <w:rsid w:val="001061F9"/>
    <w:rsid w:val="00182437"/>
    <w:rsid w:val="001B6888"/>
    <w:rsid w:val="001C2B91"/>
    <w:rsid w:val="00215914"/>
    <w:rsid w:val="002816B1"/>
    <w:rsid w:val="00296887"/>
    <w:rsid w:val="002B4F3C"/>
    <w:rsid w:val="002B761A"/>
    <w:rsid w:val="002C4283"/>
    <w:rsid w:val="002E25F3"/>
    <w:rsid w:val="002F3E9D"/>
    <w:rsid w:val="00325C35"/>
    <w:rsid w:val="003432A6"/>
    <w:rsid w:val="00395194"/>
    <w:rsid w:val="003A68E3"/>
    <w:rsid w:val="0040540C"/>
    <w:rsid w:val="00431FB4"/>
    <w:rsid w:val="00463137"/>
    <w:rsid w:val="00504DA3"/>
    <w:rsid w:val="0059047B"/>
    <w:rsid w:val="00602F0E"/>
    <w:rsid w:val="006670B9"/>
    <w:rsid w:val="00760F61"/>
    <w:rsid w:val="00766E2D"/>
    <w:rsid w:val="007842B9"/>
    <w:rsid w:val="008A2F1F"/>
    <w:rsid w:val="008C49B7"/>
    <w:rsid w:val="00936642"/>
    <w:rsid w:val="00936794"/>
    <w:rsid w:val="009C1CBC"/>
    <w:rsid w:val="00A34E58"/>
    <w:rsid w:val="00A5281E"/>
    <w:rsid w:val="00A551C5"/>
    <w:rsid w:val="00AF27EE"/>
    <w:rsid w:val="00B8508C"/>
    <w:rsid w:val="00B91CE4"/>
    <w:rsid w:val="00B93817"/>
    <w:rsid w:val="00BE2741"/>
    <w:rsid w:val="00BE5EAF"/>
    <w:rsid w:val="00CF5CEE"/>
    <w:rsid w:val="00D044F7"/>
    <w:rsid w:val="00D11F97"/>
    <w:rsid w:val="00D30E8F"/>
    <w:rsid w:val="00D84F41"/>
    <w:rsid w:val="00E12C94"/>
    <w:rsid w:val="00E45B1E"/>
    <w:rsid w:val="00EC7D21"/>
    <w:rsid w:val="00EE0774"/>
    <w:rsid w:val="00F22F8D"/>
    <w:rsid w:val="00F36BE3"/>
    <w:rsid w:val="00F5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6CAA"/>
  <w15:chartTrackingRefBased/>
  <w15:docId w15:val="{0F6C5142-DB3E-4292-AE8F-CB2FAD1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936794"/>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ndnote">
    <w:name w:val="endnote"/>
    <w:basedOn w:val="BasicParagraph"/>
    <w:uiPriority w:val="99"/>
    <w:rsid w:val="00936794"/>
  </w:style>
  <w:style w:type="character" w:customStyle="1" w:styleId="endnotemarker">
    <w:name w:val="endnote_marker"/>
    <w:uiPriority w:val="99"/>
    <w:rsid w:val="00936794"/>
    <w:rPr>
      <w:vertAlign w:val="superscript"/>
    </w:rPr>
  </w:style>
  <w:style w:type="paragraph" w:styleId="NormalWeb">
    <w:name w:val="Normal (Web)"/>
    <w:basedOn w:val="Normal"/>
    <w:uiPriority w:val="99"/>
    <w:unhideWhenUsed/>
    <w:rsid w:val="0040540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0540C"/>
    <w:rPr>
      <w:sz w:val="16"/>
      <w:szCs w:val="16"/>
    </w:rPr>
  </w:style>
  <w:style w:type="paragraph" w:styleId="CommentText">
    <w:name w:val="annotation text"/>
    <w:basedOn w:val="Normal"/>
    <w:link w:val="CommentTextChar"/>
    <w:uiPriority w:val="99"/>
    <w:semiHidden/>
    <w:unhideWhenUsed/>
    <w:rsid w:val="0040540C"/>
    <w:pPr>
      <w:spacing w:line="240" w:lineRule="auto"/>
    </w:pPr>
    <w:rPr>
      <w:sz w:val="20"/>
      <w:szCs w:val="20"/>
    </w:rPr>
  </w:style>
  <w:style w:type="character" w:customStyle="1" w:styleId="CommentTextChar">
    <w:name w:val="Comment Text Char"/>
    <w:basedOn w:val="DefaultParagraphFont"/>
    <w:link w:val="CommentText"/>
    <w:uiPriority w:val="99"/>
    <w:semiHidden/>
    <w:rsid w:val="0040540C"/>
    <w:rPr>
      <w:sz w:val="20"/>
      <w:szCs w:val="20"/>
    </w:rPr>
  </w:style>
  <w:style w:type="paragraph" w:styleId="CommentSubject">
    <w:name w:val="annotation subject"/>
    <w:basedOn w:val="CommentText"/>
    <w:next w:val="CommentText"/>
    <w:link w:val="CommentSubjectChar"/>
    <w:uiPriority w:val="99"/>
    <w:semiHidden/>
    <w:unhideWhenUsed/>
    <w:rsid w:val="0040540C"/>
    <w:rPr>
      <w:b/>
      <w:bCs/>
    </w:rPr>
  </w:style>
  <w:style w:type="character" w:customStyle="1" w:styleId="CommentSubjectChar">
    <w:name w:val="Comment Subject Char"/>
    <w:basedOn w:val="CommentTextChar"/>
    <w:link w:val="CommentSubject"/>
    <w:uiPriority w:val="99"/>
    <w:semiHidden/>
    <w:rsid w:val="0040540C"/>
    <w:rPr>
      <w:b/>
      <w:bCs/>
      <w:sz w:val="20"/>
      <w:szCs w:val="20"/>
    </w:rPr>
  </w:style>
  <w:style w:type="paragraph" w:styleId="BalloonText">
    <w:name w:val="Balloon Text"/>
    <w:basedOn w:val="Normal"/>
    <w:link w:val="BalloonTextChar"/>
    <w:uiPriority w:val="99"/>
    <w:semiHidden/>
    <w:unhideWhenUsed/>
    <w:rsid w:val="00405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40C"/>
    <w:rPr>
      <w:rFonts w:ascii="Segoe UI" w:hAnsi="Segoe UI" w:cs="Segoe UI"/>
      <w:sz w:val="18"/>
      <w:szCs w:val="18"/>
    </w:rPr>
  </w:style>
  <w:style w:type="character" w:styleId="Hyperlink">
    <w:name w:val="Hyperlink"/>
    <w:basedOn w:val="DefaultParagraphFont"/>
    <w:uiPriority w:val="99"/>
    <w:unhideWhenUsed/>
    <w:rsid w:val="00182437"/>
    <w:rPr>
      <w:color w:val="0563C1" w:themeColor="hyperlink"/>
      <w:u w:val="single"/>
    </w:rPr>
  </w:style>
  <w:style w:type="paragraph" w:styleId="Header">
    <w:name w:val="header"/>
    <w:basedOn w:val="Normal"/>
    <w:link w:val="HeaderChar"/>
    <w:uiPriority w:val="99"/>
    <w:unhideWhenUsed/>
    <w:rsid w:val="0018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37"/>
  </w:style>
  <w:style w:type="paragraph" w:styleId="Footer">
    <w:name w:val="footer"/>
    <w:basedOn w:val="Normal"/>
    <w:link w:val="FooterChar"/>
    <w:uiPriority w:val="99"/>
    <w:unhideWhenUsed/>
    <w:rsid w:val="0018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37"/>
  </w:style>
  <w:style w:type="paragraph" w:styleId="FootnoteText">
    <w:name w:val="footnote text"/>
    <w:basedOn w:val="Normal"/>
    <w:link w:val="FootnoteTextChar"/>
    <w:uiPriority w:val="99"/>
    <w:semiHidden/>
    <w:unhideWhenUsed/>
    <w:rsid w:val="00BE2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41"/>
    <w:rPr>
      <w:sz w:val="20"/>
      <w:szCs w:val="20"/>
    </w:rPr>
  </w:style>
  <w:style w:type="character" w:styleId="FootnoteReference">
    <w:name w:val="footnote reference"/>
    <w:basedOn w:val="DefaultParagraphFont"/>
    <w:uiPriority w:val="99"/>
    <w:semiHidden/>
    <w:unhideWhenUsed/>
    <w:rsid w:val="00BE27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4616">
      <w:bodyDiv w:val="1"/>
      <w:marLeft w:val="0"/>
      <w:marRight w:val="0"/>
      <w:marTop w:val="0"/>
      <w:marBottom w:val="0"/>
      <w:divBdr>
        <w:top w:val="none" w:sz="0" w:space="0" w:color="auto"/>
        <w:left w:val="none" w:sz="0" w:space="0" w:color="auto"/>
        <w:bottom w:val="none" w:sz="0" w:space="0" w:color="auto"/>
        <w:right w:val="none" w:sz="0" w:space="0" w:color="auto"/>
      </w:divBdr>
      <w:divsChild>
        <w:div w:id="1141115292">
          <w:marLeft w:val="0"/>
          <w:marRight w:val="0"/>
          <w:marTop w:val="0"/>
          <w:marBottom w:val="0"/>
          <w:divBdr>
            <w:top w:val="none" w:sz="0" w:space="0" w:color="auto"/>
            <w:left w:val="none" w:sz="0" w:space="0" w:color="auto"/>
            <w:bottom w:val="none" w:sz="0" w:space="0" w:color="auto"/>
            <w:right w:val="none" w:sz="0" w:space="0" w:color="auto"/>
          </w:divBdr>
        </w:div>
        <w:div w:id="1071780956">
          <w:marLeft w:val="0"/>
          <w:marRight w:val="0"/>
          <w:marTop w:val="0"/>
          <w:marBottom w:val="0"/>
          <w:divBdr>
            <w:top w:val="none" w:sz="0" w:space="0" w:color="auto"/>
            <w:left w:val="none" w:sz="0" w:space="0" w:color="auto"/>
            <w:bottom w:val="none" w:sz="0" w:space="0" w:color="auto"/>
            <w:right w:val="none" w:sz="0" w:space="0" w:color="auto"/>
          </w:divBdr>
        </w:div>
        <w:div w:id="629479440">
          <w:marLeft w:val="0"/>
          <w:marRight w:val="0"/>
          <w:marTop w:val="0"/>
          <w:marBottom w:val="0"/>
          <w:divBdr>
            <w:top w:val="none" w:sz="0" w:space="0" w:color="auto"/>
            <w:left w:val="none" w:sz="0" w:space="0" w:color="auto"/>
            <w:bottom w:val="none" w:sz="0" w:space="0" w:color="auto"/>
            <w:right w:val="none" w:sz="0" w:space="0" w:color="auto"/>
          </w:divBdr>
        </w:div>
        <w:div w:id="715465945">
          <w:marLeft w:val="0"/>
          <w:marRight w:val="0"/>
          <w:marTop w:val="0"/>
          <w:marBottom w:val="0"/>
          <w:divBdr>
            <w:top w:val="none" w:sz="0" w:space="0" w:color="auto"/>
            <w:left w:val="none" w:sz="0" w:space="0" w:color="auto"/>
            <w:bottom w:val="none" w:sz="0" w:space="0" w:color="auto"/>
            <w:right w:val="none" w:sz="0" w:space="0" w:color="auto"/>
          </w:divBdr>
        </w:div>
        <w:div w:id="781919012">
          <w:marLeft w:val="0"/>
          <w:marRight w:val="0"/>
          <w:marTop w:val="0"/>
          <w:marBottom w:val="0"/>
          <w:divBdr>
            <w:top w:val="none" w:sz="0" w:space="0" w:color="auto"/>
            <w:left w:val="none" w:sz="0" w:space="0" w:color="auto"/>
            <w:bottom w:val="none" w:sz="0" w:space="0" w:color="auto"/>
            <w:right w:val="none" w:sz="0" w:space="0" w:color="auto"/>
          </w:divBdr>
        </w:div>
        <w:div w:id="514729629">
          <w:marLeft w:val="0"/>
          <w:marRight w:val="0"/>
          <w:marTop w:val="0"/>
          <w:marBottom w:val="0"/>
          <w:divBdr>
            <w:top w:val="none" w:sz="0" w:space="0" w:color="auto"/>
            <w:left w:val="none" w:sz="0" w:space="0" w:color="auto"/>
            <w:bottom w:val="none" w:sz="0" w:space="0" w:color="auto"/>
            <w:right w:val="none" w:sz="0" w:space="0" w:color="auto"/>
          </w:divBdr>
        </w:div>
        <w:div w:id="1585646340">
          <w:marLeft w:val="0"/>
          <w:marRight w:val="0"/>
          <w:marTop w:val="0"/>
          <w:marBottom w:val="0"/>
          <w:divBdr>
            <w:top w:val="none" w:sz="0" w:space="0" w:color="auto"/>
            <w:left w:val="none" w:sz="0" w:space="0" w:color="auto"/>
            <w:bottom w:val="none" w:sz="0" w:space="0" w:color="auto"/>
            <w:right w:val="none" w:sz="0" w:space="0" w:color="auto"/>
          </w:divBdr>
        </w:div>
        <w:div w:id="574049056">
          <w:marLeft w:val="0"/>
          <w:marRight w:val="0"/>
          <w:marTop w:val="0"/>
          <w:marBottom w:val="0"/>
          <w:divBdr>
            <w:top w:val="none" w:sz="0" w:space="0" w:color="auto"/>
            <w:left w:val="none" w:sz="0" w:space="0" w:color="auto"/>
            <w:bottom w:val="none" w:sz="0" w:space="0" w:color="auto"/>
            <w:right w:val="none" w:sz="0" w:space="0" w:color="auto"/>
          </w:divBdr>
        </w:div>
        <w:div w:id="654065508">
          <w:marLeft w:val="0"/>
          <w:marRight w:val="0"/>
          <w:marTop w:val="0"/>
          <w:marBottom w:val="0"/>
          <w:divBdr>
            <w:top w:val="none" w:sz="0" w:space="0" w:color="auto"/>
            <w:left w:val="none" w:sz="0" w:space="0" w:color="auto"/>
            <w:bottom w:val="none" w:sz="0" w:space="0" w:color="auto"/>
            <w:right w:val="none" w:sz="0" w:space="0" w:color="auto"/>
          </w:divBdr>
        </w:div>
        <w:div w:id="1769306100">
          <w:marLeft w:val="0"/>
          <w:marRight w:val="0"/>
          <w:marTop w:val="0"/>
          <w:marBottom w:val="0"/>
          <w:divBdr>
            <w:top w:val="none" w:sz="0" w:space="0" w:color="auto"/>
            <w:left w:val="none" w:sz="0" w:space="0" w:color="auto"/>
            <w:bottom w:val="none" w:sz="0" w:space="0" w:color="auto"/>
            <w:right w:val="none" w:sz="0" w:space="0" w:color="auto"/>
          </w:divBdr>
        </w:div>
        <w:div w:id="1878618630">
          <w:marLeft w:val="0"/>
          <w:marRight w:val="0"/>
          <w:marTop w:val="0"/>
          <w:marBottom w:val="0"/>
          <w:divBdr>
            <w:top w:val="none" w:sz="0" w:space="0" w:color="auto"/>
            <w:left w:val="none" w:sz="0" w:space="0" w:color="auto"/>
            <w:bottom w:val="none" w:sz="0" w:space="0" w:color="auto"/>
            <w:right w:val="none" w:sz="0" w:space="0" w:color="auto"/>
          </w:divBdr>
        </w:div>
        <w:div w:id="185991925">
          <w:marLeft w:val="0"/>
          <w:marRight w:val="0"/>
          <w:marTop w:val="0"/>
          <w:marBottom w:val="0"/>
          <w:divBdr>
            <w:top w:val="none" w:sz="0" w:space="0" w:color="auto"/>
            <w:left w:val="none" w:sz="0" w:space="0" w:color="auto"/>
            <w:bottom w:val="none" w:sz="0" w:space="0" w:color="auto"/>
            <w:right w:val="none" w:sz="0" w:space="0" w:color="auto"/>
          </w:divBdr>
        </w:div>
        <w:div w:id="1912420122">
          <w:marLeft w:val="0"/>
          <w:marRight w:val="0"/>
          <w:marTop w:val="0"/>
          <w:marBottom w:val="0"/>
          <w:divBdr>
            <w:top w:val="none" w:sz="0" w:space="0" w:color="auto"/>
            <w:left w:val="none" w:sz="0" w:space="0" w:color="auto"/>
            <w:bottom w:val="none" w:sz="0" w:space="0" w:color="auto"/>
            <w:right w:val="none" w:sz="0" w:space="0" w:color="auto"/>
          </w:divBdr>
        </w:div>
        <w:div w:id="10420329">
          <w:marLeft w:val="0"/>
          <w:marRight w:val="0"/>
          <w:marTop w:val="0"/>
          <w:marBottom w:val="0"/>
          <w:divBdr>
            <w:top w:val="none" w:sz="0" w:space="0" w:color="auto"/>
            <w:left w:val="none" w:sz="0" w:space="0" w:color="auto"/>
            <w:bottom w:val="none" w:sz="0" w:space="0" w:color="auto"/>
            <w:right w:val="none" w:sz="0" w:space="0" w:color="auto"/>
          </w:divBdr>
        </w:div>
        <w:div w:id="1022242972">
          <w:marLeft w:val="0"/>
          <w:marRight w:val="0"/>
          <w:marTop w:val="0"/>
          <w:marBottom w:val="0"/>
          <w:divBdr>
            <w:top w:val="none" w:sz="0" w:space="0" w:color="auto"/>
            <w:left w:val="none" w:sz="0" w:space="0" w:color="auto"/>
            <w:bottom w:val="none" w:sz="0" w:space="0" w:color="auto"/>
            <w:right w:val="none" w:sz="0" w:space="0" w:color="auto"/>
          </w:divBdr>
        </w:div>
        <w:div w:id="1550608043">
          <w:marLeft w:val="0"/>
          <w:marRight w:val="0"/>
          <w:marTop w:val="0"/>
          <w:marBottom w:val="0"/>
          <w:divBdr>
            <w:top w:val="none" w:sz="0" w:space="0" w:color="auto"/>
            <w:left w:val="none" w:sz="0" w:space="0" w:color="auto"/>
            <w:bottom w:val="none" w:sz="0" w:space="0" w:color="auto"/>
            <w:right w:val="none" w:sz="0" w:space="0" w:color="auto"/>
          </w:divBdr>
        </w:div>
        <w:div w:id="1732607227">
          <w:marLeft w:val="0"/>
          <w:marRight w:val="0"/>
          <w:marTop w:val="0"/>
          <w:marBottom w:val="0"/>
          <w:divBdr>
            <w:top w:val="none" w:sz="0" w:space="0" w:color="auto"/>
            <w:left w:val="none" w:sz="0" w:space="0" w:color="auto"/>
            <w:bottom w:val="none" w:sz="0" w:space="0" w:color="auto"/>
            <w:right w:val="none" w:sz="0" w:space="0" w:color="auto"/>
          </w:divBdr>
        </w:div>
        <w:div w:id="1634091514">
          <w:marLeft w:val="0"/>
          <w:marRight w:val="0"/>
          <w:marTop w:val="0"/>
          <w:marBottom w:val="0"/>
          <w:divBdr>
            <w:top w:val="none" w:sz="0" w:space="0" w:color="auto"/>
            <w:left w:val="none" w:sz="0" w:space="0" w:color="auto"/>
            <w:bottom w:val="none" w:sz="0" w:space="0" w:color="auto"/>
            <w:right w:val="none" w:sz="0" w:space="0" w:color="auto"/>
          </w:divBdr>
        </w:div>
        <w:div w:id="772549819">
          <w:marLeft w:val="0"/>
          <w:marRight w:val="0"/>
          <w:marTop w:val="0"/>
          <w:marBottom w:val="0"/>
          <w:divBdr>
            <w:top w:val="none" w:sz="0" w:space="0" w:color="auto"/>
            <w:left w:val="none" w:sz="0" w:space="0" w:color="auto"/>
            <w:bottom w:val="none" w:sz="0" w:space="0" w:color="auto"/>
            <w:right w:val="none" w:sz="0" w:space="0" w:color="auto"/>
          </w:divBdr>
        </w:div>
        <w:div w:id="314840639">
          <w:marLeft w:val="0"/>
          <w:marRight w:val="0"/>
          <w:marTop w:val="0"/>
          <w:marBottom w:val="0"/>
          <w:divBdr>
            <w:top w:val="none" w:sz="0" w:space="0" w:color="auto"/>
            <w:left w:val="none" w:sz="0" w:space="0" w:color="auto"/>
            <w:bottom w:val="none" w:sz="0" w:space="0" w:color="auto"/>
            <w:right w:val="none" w:sz="0" w:space="0" w:color="auto"/>
          </w:divBdr>
        </w:div>
        <w:div w:id="1916547737">
          <w:marLeft w:val="0"/>
          <w:marRight w:val="0"/>
          <w:marTop w:val="0"/>
          <w:marBottom w:val="0"/>
          <w:divBdr>
            <w:top w:val="none" w:sz="0" w:space="0" w:color="auto"/>
            <w:left w:val="none" w:sz="0" w:space="0" w:color="auto"/>
            <w:bottom w:val="none" w:sz="0" w:space="0" w:color="auto"/>
            <w:right w:val="none" w:sz="0" w:space="0" w:color="auto"/>
          </w:divBdr>
        </w:div>
        <w:div w:id="803884831">
          <w:marLeft w:val="0"/>
          <w:marRight w:val="0"/>
          <w:marTop w:val="0"/>
          <w:marBottom w:val="0"/>
          <w:divBdr>
            <w:top w:val="none" w:sz="0" w:space="0" w:color="auto"/>
            <w:left w:val="none" w:sz="0" w:space="0" w:color="auto"/>
            <w:bottom w:val="none" w:sz="0" w:space="0" w:color="auto"/>
            <w:right w:val="none" w:sz="0" w:space="0" w:color="auto"/>
          </w:divBdr>
        </w:div>
        <w:div w:id="1891384529">
          <w:marLeft w:val="0"/>
          <w:marRight w:val="0"/>
          <w:marTop w:val="0"/>
          <w:marBottom w:val="0"/>
          <w:divBdr>
            <w:top w:val="none" w:sz="0" w:space="0" w:color="auto"/>
            <w:left w:val="none" w:sz="0" w:space="0" w:color="auto"/>
            <w:bottom w:val="none" w:sz="0" w:space="0" w:color="auto"/>
            <w:right w:val="none" w:sz="0" w:space="0" w:color="auto"/>
          </w:divBdr>
        </w:div>
        <w:div w:id="1048727949">
          <w:marLeft w:val="0"/>
          <w:marRight w:val="0"/>
          <w:marTop w:val="0"/>
          <w:marBottom w:val="0"/>
          <w:divBdr>
            <w:top w:val="none" w:sz="0" w:space="0" w:color="auto"/>
            <w:left w:val="none" w:sz="0" w:space="0" w:color="auto"/>
            <w:bottom w:val="none" w:sz="0" w:space="0" w:color="auto"/>
            <w:right w:val="none" w:sz="0" w:space="0" w:color="auto"/>
          </w:divBdr>
        </w:div>
        <w:div w:id="825436575">
          <w:marLeft w:val="0"/>
          <w:marRight w:val="0"/>
          <w:marTop w:val="0"/>
          <w:marBottom w:val="0"/>
          <w:divBdr>
            <w:top w:val="none" w:sz="0" w:space="0" w:color="auto"/>
            <w:left w:val="none" w:sz="0" w:space="0" w:color="auto"/>
            <w:bottom w:val="none" w:sz="0" w:space="0" w:color="auto"/>
            <w:right w:val="none" w:sz="0" w:space="0" w:color="auto"/>
          </w:divBdr>
        </w:div>
        <w:div w:id="1413624006">
          <w:marLeft w:val="0"/>
          <w:marRight w:val="0"/>
          <w:marTop w:val="0"/>
          <w:marBottom w:val="0"/>
          <w:divBdr>
            <w:top w:val="none" w:sz="0" w:space="0" w:color="auto"/>
            <w:left w:val="none" w:sz="0" w:space="0" w:color="auto"/>
            <w:bottom w:val="none" w:sz="0" w:space="0" w:color="auto"/>
            <w:right w:val="none" w:sz="0" w:space="0" w:color="auto"/>
          </w:divBdr>
        </w:div>
        <w:div w:id="1109815606">
          <w:marLeft w:val="0"/>
          <w:marRight w:val="0"/>
          <w:marTop w:val="0"/>
          <w:marBottom w:val="0"/>
          <w:divBdr>
            <w:top w:val="none" w:sz="0" w:space="0" w:color="auto"/>
            <w:left w:val="none" w:sz="0" w:space="0" w:color="auto"/>
            <w:bottom w:val="none" w:sz="0" w:space="0" w:color="auto"/>
            <w:right w:val="none" w:sz="0" w:space="0" w:color="auto"/>
          </w:divBdr>
        </w:div>
        <w:div w:id="1284770014">
          <w:marLeft w:val="0"/>
          <w:marRight w:val="0"/>
          <w:marTop w:val="0"/>
          <w:marBottom w:val="0"/>
          <w:divBdr>
            <w:top w:val="none" w:sz="0" w:space="0" w:color="auto"/>
            <w:left w:val="none" w:sz="0" w:space="0" w:color="auto"/>
            <w:bottom w:val="none" w:sz="0" w:space="0" w:color="auto"/>
            <w:right w:val="none" w:sz="0" w:space="0" w:color="auto"/>
          </w:divBdr>
        </w:div>
        <w:div w:id="930503983">
          <w:marLeft w:val="0"/>
          <w:marRight w:val="0"/>
          <w:marTop w:val="0"/>
          <w:marBottom w:val="0"/>
          <w:divBdr>
            <w:top w:val="none" w:sz="0" w:space="0" w:color="auto"/>
            <w:left w:val="none" w:sz="0" w:space="0" w:color="auto"/>
            <w:bottom w:val="none" w:sz="0" w:space="0" w:color="auto"/>
            <w:right w:val="none" w:sz="0" w:space="0" w:color="auto"/>
          </w:divBdr>
        </w:div>
        <w:div w:id="108554318">
          <w:marLeft w:val="0"/>
          <w:marRight w:val="0"/>
          <w:marTop w:val="0"/>
          <w:marBottom w:val="0"/>
          <w:divBdr>
            <w:top w:val="none" w:sz="0" w:space="0" w:color="auto"/>
            <w:left w:val="none" w:sz="0" w:space="0" w:color="auto"/>
            <w:bottom w:val="none" w:sz="0" w:space="0" w:color="auto"/>
            <w:right w:val="none" w:sz="0" w:space="0" w:color="auto"/>
          </w:divBdr>
        </w:div>
        <w:div w:id="541133026">
          <w:marLeft w:val="0"/>
          <w:marRight w:val="0"/>
          <w:marTop w:val="0"/>
          <w:marBottom w:val="0"/>
          <w:divBdr>
            <w:top w:val="none" w:sz="0" w:space="0" w:color="auto"/>
            <w:left w:val="none" w:sz="0" w:space="0" w:color="auto"/>
            <w:bottom w:val="none" w:sz="0" w:space="0" w:color="auto"/>
            <w:right w:val="none" w:sz="0" w:space="0" w:color="auto"/>
          </w:divBdr>
        </w:div>
        <w:div w:id="1037656221">
          <w:marLeft w:val="0"/>
          <w:marRight w:val="0"/>
          <w:marTop w:val="0"/>
          <w:marBottom w:val="0"/>
          <w:divBdr>
            <w:top w:val="none" w:sz="0" w:space="0" w:color="auto"/>
            <w:left w:val="none" w:sz="0" w:space="0" w:color="auto"/>
            <w:bottom w:val="none" w:sz="0" w:space="0" w:color="auto"/>
            <w:right w:val="none" w:sz="0" w:space="0" w:color="auto"/>
          </w:divBdr>
        </w:div>
        <w:div w:id="334771388">
          <w:marLeft w:val="0"/>
          <w:marRight w:val="0"/>
          <w:marTop w:val="0"/>
          <w:marBottom w:val="0"/>
          <w:divBdr>
            <w:top w:val="none" w:sz="0" w:space="0" w:color="auto"/>
            <w:left w:val="none" w:sz="0" w:space="0" w:color="auto"/>
            <w:bottom w:val="none" w:sz="0" w:space="0" w:color="auto"/>
            <w:right w:val="none" w:sz="0" w:space="0" w:color="auto"/>
          </w:divBdr>
        </w:div>
        <w:div w:id="407847798">
          <w:marLeft w:val="0"/>
          <w:marRight w:val="0"/>
          <w:marTop w:val="0"/>
          <w:marBottom w:val="0"/>
          <w:divBdr>
            <w:top w:val="none" w:sz="0" w:space="0" w:color="auto"/>
            <w:left w:val="none" w:sz="0" w:space="0" w:color="auto"/>
            <w:bottom w:val="none" w:sz="0" w:space="0" w:color="auto"/>
            <w:right w:val="none" w:sz="0" w:space="0" w:color="auto"/>
          </w:divBdr>
        </w:div>
        <w:div w:id="444346748">
          <w:marLeft w:val="0"/>
          <w:marRight w:val="0"/>
          <w:marTop w:val="0"/>
          <w:marBottom w:val="0"/>
          <w:divBdr>
            <w:top w:val="none" w:sz="0" w:space="0" w:color="auto"/>
            <w:left w:val="none" w:sz="0" w:space="0" w:color="auto"/>
            <w:bottom w:val="none" w:sz="0" w:space="0" w:color="auto"/>
            <w:right w:val="none" w:sz="0" w:space="0" w:color="auto"/>
          </w:divBdr>
        </w:div>
        <w:div w:id="118569631">
          <w:marLeft w:val="0"/>
          <w:marRight w:val="0"/>
          <w:marTop w:val="0"/>
          <w:marBottom w:val="0"/>
          <w:divBdr>
            <w:top w:val="none" w:sz="0" w:space="0" w:color="auto"/>
            <w:left w:val="none" w:sz="0" w:space="0" w:color="auto"/>
            <w:bottom w:val="none" w:sz="0" w:space="0" w:color="auto"/>
            <w:right w:val="none" w:sz="0" w:space="0" w:color="auto"/>
          </w:divBdr>
        </w:div>
        <w:div w:id="2077506577">
          <w:marLeft w:val="0"/>
          <w:marRight w:val="0"/>
          <w:marTop w:val="0"/>
          <w:marBottom w:val="0"/>
          <w:divBdr>
            <w:top w:val="none" w:sz="0" w:space="0" w:color="auto"/>
            <w:left w:val="none" w:sz="0" w:space="0" w:color="auto"/>
            <w:bottom w:val="none" w:sz="0" w:space="0" w:color="auto"/>
            <w:right w:val="none" w:sz="0" w:space="0" w:color="auto"/>
          </w:divBdr>
        </w:div>
        <w:div w:id="1986736641">
          <w:marLeft w:val="0"/>
          <w:marRight w:val="0"/>
          <w:marTop w:val="0"/>
          <w:marBottom w:val="0"/>
          <w:divBdr>
            <w:top w:val="none" w:sz="0" w:space="0" w:color="auto"/>
            <w:left w:val="none" w:sz="0" w:space="0" w:color="auto"/>
            <w:bottom w:val="none" w:sz="0" w:space="0" w:color="auto"/>
            <w:right w:val="none" w:sz="0" w:space="0" w:color="auto"/>
          </w:divBdr>
        </w:div>
        <w:div w:id="1841582296">
          <w:marLeft w:val="0"/>
          <w:marRight w:val="0"/>
          <w:marTop w:val="0"/>
          <w:marBottom w:val="0"/>
          <w:divBdr>
            <w:top w:val="none" w:sz="0" w:space="0" w:color="auto"/>
            <w:left w:val="none" w:sz="0" w:space="0" w:color="auto"/>
            <w:bottom w:val="none" w:sz="0" w:space="0" w:color="auto"/>
            <w:right w:val="none" w:sz="0" w:space="0" w:color="auto"/>
          </w:divBdr>
        </w:div>
        <w:div w:id="348065865">
          <w:marLeft w:val="0"/>
          <w:marRight w:val="0"/>
          <w:marTop w:val="0"/>
          <w:marBottom w:val="0"/>
          <w:divBdr>
            <w:top w:val="none" w:sz="0" w:space="0" w:color="auto"/>
            <w:left w:val="none" w:sz="0" w:space="0" w:color="auto"/>
            <w:bottom w:val="none" w:sz="0" w:space="0" w:color="auto"/>
            <w:right w:val="none" w:sz="0" w:space="0" w:color="auto"/>
          </w:divBdr>
        </w:div>
        <w:div w:id="1085347348">
          <w:marLeft w:val="0"/>
          <w:marRight w:val="0"/>
          <w:marTop w:val="0"/>
          <w:marBottom w:val="0"/>
          <w:divBdr>
            <w:top w:val="none" w:sz="0" w:space="0" w:color="auto"/>
            <w:left w:val="none" w:sz="0" w:space="0" w:color="auto"/>
            <w:bottom w:val="none" w:sz="0" w:space="0" w:color="auto"/>
            <w:right w:val="none" w:sz="0" w:space="0" w:color="auto"/>
          </w:divBdr>
        </w:div>
        <w:div w:id="127668351">
          <w:marLeft w:val="0"/>
          <w:marRight w:val="0"/>
          <w:marTop w:val="0"/>
          <w:marBottom w:val="0"/>
          <w:divBdr>
            <w:top w:val="none" w:sz="0" w:space="0" w:color="auto"/>
            <w:left w:val="none" w:sz="0" w:space="0" w:color="auto"/>
            <w:bottom w:val="none" w:sz="0" w:space="0" w:color="auto"/>
            <w:right w:val="none" w:sz="0" w:space="0" w:color="auto"/>
          </w:divBdr>
        </w:div>
        <w:div w:id="1774864237">
          <w:marLeft w:val="0"/>
          <w:marRight w:val="0"/>
          <w:marTop w:val="0"/>
          <w:marBottom w:val="0"/>
          <w:divBdr>
            <w:top w:val="none" w:sz="0" w:space="0" w:color="auto"/>
            <w:left w:val="none" w:sz="0" w:space="0" w:color="auto"/>
            <w:bottom w:val="none" w:sz="0" w:space="0" w:color="auto"/>
            <w:right w:val="none" w:sz="0" w:space="0" w:color="auto"/>
          </w:divBdr>
        </w:div>
        <w:div w:id="768088243">
          <w:marLeft w:val="0"/>
          <w:marRight w:val="0"/>
          <w:marTop w:val="0"/>
          <w:marBottom w:val="0"/>
          <w:divBdr>
            <w:top w:val="none" w:sz="0" w:space="0" w:color="auto"/>
            <w:left w:val="none" w:sz="0" w:space="0" w:color="auto"/>
            <w:bottom w:val="none" w:sz="0" w:space="0" w:color="auto"/>
            <w:right w:val="none" w:sz="0" w:space="0" w:color="auto"/>
          </w:divBdr>
        </w:div>
        <w:div w:id="585387713">
          <w:marLeft w:val="0"/>
          <w:marRight w:val="0"/>
          <w:marTop w:val="0"/>
          <w:marBottom w:val="0"/>
          <w:divBdr>
            <w:top w:val="none" w:sz="0" w:space="0" w:color="auto"/>
            <w:left w:val="none" w:sz="0" w:space="0" w:color="auto"/>
            <w:bottom w:val="none" w:sz="0" w:space="0" w:color="auto"/>
            <w:right w:val="none" w:sz="0" w:space="0" w:color="auto"/>
          </w:divBdr>
        </w:div>
        <w:div w:id="1348101607">
          <w:marLeft w:val="0"/>
          <w:marRight w:val="0"/>
          <w:marTop w:val="0"/>
          <w:marBottom w:val="0"/>
          <w:divBdr>
            <w:top w:val="none" w:sz="0" w:space="0" w:color="auto"/>
            <w:left w:val="none" w:sz="0" w:space="0" w:color="auto"/>
            <w:bottom w:val="none" w:sz="0" w:space="0" w:color="auto"/>
            <w:right w:val="none" w:sz="0" w:space="0" w:color="auto"/>
          </w:divBdr>
        </w:div>
        <w:div w:id="4289389">
          <w:marLeft w:val="0"/>
          <w:marRight w:val="0"/>
          <w:marTop w:val="0"/>
          <w:marBottom w:val="0"/>
          <w:divBdr>
            <w:top w:val="none" w:sz="0" w:space="0" w:color="auto"/>
            <w:left w:val="none" w:sz="0" w:space="0" w:color="auto"/>
            <w:bottom w:val="none" w:sz="0" w:space="0" w:color="auto"/>
            <w:right w:val="none" w:sz="0" w:space="0" w:color="auto"/>
          </w:divBdr>
        </w:div>
        <w:div w:id="1484157088">
          <w:marLeft w:val="0"/>
          <w:marRight w:val="0"/>
          <w:marTop w:val="0"/>
          <w:marBottom w:val="0"/>
          <w:divBdr>
            <w:top w:val="none" w:sz="0" w:space="0" w:color="auto"/>
            <w:left w:val="none" w:sz="0" w:space="0" w:color="auto"/>
            <w:bottom w:val="none" w:sz="0" w:space="0" w:color="auto"/>
            <w:right w:val="none" w:sz="0" w:space="0" w:color="auto"/>
          </w:divBdr>
        </w:div>
      </w:divsChild>
    </w:div>
    <w:div w:id="2017804386">
      <w:bodyDiv w:val="1"/>
      <w:marLeft w:val="0"/>
      <w:marRight w:val="0"/>
      <w:marTop w:val="0"/>
      <w:marBottom w:val="0"/>
      <w:divBdr>
        <w:top w:val="none" w:sz="0" w:space="0" w:color="auto"/>
        <w:left w:val="none" w:sz="0" w:space="0" w:color="auto"/>
        <w:bottom w:val="none" w:sz="0" w:space="0" w:color="auto"/>
        <w:right w:val="none" w:sz="0" w:space="0" w:color="auto"/>
      </w:divBdr>
      <w:divsChild>
        <w:div w:id="2025865656">
          <w:marLeft w:val="0"/>
          <w:marRight w:val="0"/>
          <w:marTop w:val="0"/>
          <w:marBottom w:val="0"/>
          <w:divBdr>
            <w:top w:val="none" w:sz="0" w:space="0" w:color="auto"/>
            <w:left w:val="none" w:sz="0" w:space="0" w:color="auto"/>
            <w:bottom w:val="none" w:sz="0" w:space="0" w:color="auto"/>
            <w:right w:val="none" w:sz="0" w:space="0" w:color="auto"/>
          </w:divBdr>
        </w:div>
        <w:div w:id="1187905674">
          <w:marLeft w:val="0"/>
          <w:marRight w:val="0"/>
          <w:marTop w:val="0"/>
          <w:marBottom w:val="0"/>
          <w:divBdr>
            <w:top w:val="none" w:sz="0" w:space="0" w:color="auto"/>
            <w:left w:val="none" w:sz="0" w:space="0" w:color="auto"/>
            <w:bottom w:val="none" w:sz="0" w:space="0" w:color="auto"/>
            <w:right w:val="none" w:sz="0" w:space="0" w:color="auto"/>
          </w:divBdr>
        </w:div>
        <w:div w:id="662046732">
          <w:marLeft w:val="0"/>
          <w:marRight w:val="0"/>
          <w:marTop w:val="0"/>
          <w:marBottom w:val="0"/>
          <w:divBdr>
            <w:top w:val="none" w:sz="0" w:space="0" w:color="auto"/>
            <w:left w:val="none" w:sz="0" w:space="0" w:color="auto"/>
            <w:bottom w:val="none" w:sz="0" w:space="0" w:color="auto"/>
            <w:right w:val="none" w:sz="0" w:space="0" w:color="auto"/>
          </w:divBdr>
        </w:div>
        <w:div w:id="1023245709">
          <w:marLeft w:val="0"/>
          <w:marRight w:val="0"/>
          <w:marTop w:val="0"/>
          <w:marBottom w:val="0"/>
          <w:divBdr>
            <w:top w:val="none" w:sz="0" w:space="0" w:color="auto"/>
            <w:left w:val="none" w:sz="0" w:space="0" w:color="auto"/>
            <w:bottom w:val="none" w:sz="0" w:space="0" w:color="auto"/>
            <w:right w:val="none" w:sz="0" w:space="0" w:color="auto"/>
          </w:divBdr>
        </w:div>
        <w:div w:id="1084257569">
          <w:marLeft w:val="0"/>
          <w:marRight w:val="0"/>
          <w:marTop w:val="0"/>
          <w:marBottom w:val="0"/>
          <w:divBdr>
            <w:top w:val="none" w:sz="0" w:space="0" w:color="auto"/>
            <w:left w:val="none" w:sz="0" w:space="0" w:color="auto"/>
            <w:bottom w:val="none" w:sz="0" w:space="0" w:color="auto"/>
            <w:right w:val="none" w:sz="0" w:space="0" w:color="auto"/>
          </w:divBdr>
        </w:div>
        <w:div w:id="802885853">
          <w:marLeft w:val="0"/>
          <w:marRight w:val="0"/>
          <w:marTop w:val="0"/>
          <w:marBottom w:val="0"/>
          <w:divBdr>
            <w:top w:val="none" w:sz="0" w:space="0" w:color="auto"/>
            <w:left w:val="none" w:sz="0" w:space="0" w:color="auto"/>
            <w:bottom w:val="none" w:sz="0" w:space="0" w:color="auto"/>
            <w:right w:val="none" w:sz="0" w:space="0" w:color="auto"/>
          </w:divBdr>
        </w:div>
        <w:div w:id="1995641364">
          <w:marLeft w:val="0"/>
          <w:marRight w:val="0"/>
          <w:marTop w:val="0"/>
          <w:marBottom w:val="0"/>
          <w:divBdr>
            <w:top w:val="none" w:sz="0" w:space="0" w:color="auto"/>
            <w:left w:val="none" w:sz="0" w:space="0" w:color="auto"/>
            <w:bottom w:val="none" w:sz="0" w:space="0" w:color="auto"/>
            <w:right w:val="none" w:sz="0" w:space="0" w:color="auto"/>
          </w:divBdr>
        </w:div>
        <w:div w:id="541400807">
          <w:marLeft w:val="0"/>
          <w:marRight w:val="0"/>
          <w:marTop w:val="0"/>
          <w:marBottom w:val="0"/>
          <w:divBdr>
            <w:top w:val="none" w:sz="0" w:space="0" w:color="auto"/>
            <w:left w:val="none" w:sz="0" w:space="0" w:color="auto"/>
            <w:bottom w:val="none" w:sz="0" w:space="0" w:color="auto"/>
            <w:right w:val="none" w:sz="0" w:space="0" w:color="auto"/>
          </w:divBdr>
        </w:div>
        <w:div w:id="467286403">
          <w:marLeft w:val="0"/>
          <w:marRight w:val="0"/>
          <w:marTop w:val="0"/>
          <w:marBottom w:val="0"/>
          <w:divBdr>
            <w:top w:val="none" w:sz="0" w:space="0" w:color="auto"/>
            <w:left w:val="none" w:sz="0" w:space="0" w:color="auto"/>
            <w:bottom w:val="none" w:sz="0" w:space="0" w:color="auto"/>
            <w:right w:val="none" w:sz="0" w:space="0" w:color="auto"/>
          </w:divBdr>
        </w:div>
        <w:div w:id="1794245487">
          <w:marLeft w:val="0"/>
          <w:marRight w:val="0"/>
          <w:marTop w:val="0"/>
          <w:marBottom w:val="0"/>
          <w:divBdr>
            <w:top w:val="none" w:sz="0" w:space="0" w:color="auto"/>
            <w:left w:val="none" w:sz="0" w:space="0" w:color="auto"/>
            <w:bottom w:val="none" w:sz="0" w:space="0" w:color="auto"/>
            <w:right w:val="none" w:sz="0" w:space="0" w:color="auto"/>
          </w:divBdr>
        </w:div>
        <w:div w:id="1201937232">
          <w:marLeft w:val="0"/>
          <w:marRight w:val="0"/>
          <w:marTop w:val="0"/>
          <w:marBottom w:val="0"/>
          <w:divBdr>
            <w:top w:val="none" w:sz="0" w:space="0" w:color="auto"/>
            <w:left w:val="none" w:sz="0" w:space="0" w:color="auto"/>
            <w:bottom w:val="none" w:sz="0" w:space="0" w:color="auto"/>
            <w:right w:val="none" w:sz="0" w:space="0" w:color="auto"/>
          </w:divBdr>
        </w:div>
        <w:div w:id="162831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oleObject" Target="file:///\\10.18.8.65\RedirectedFolders$\LynchCary\Downloads\CT_Dec1979-2018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145248670839222"/>
          <c:y val="8.3653530092879361E-2"/>
          <c:w val="0.77637660677030751"/>
          <c:h val="0.79088847374254434"/>
        </c:manualLayout>
      </c:layout>
      <c:scatterChart>
        <c:scatterStyle val="smoothMarker"/>
        <c:varyColors val="0"/>
        <c:ser>
          <c:idx val="0"/>
          <c:order val="0"/>
          <c:tx>
            <c:strRef>
              <c:f>CT_FEB!$H$1</c:f>
              <c:strCache>
                <c:ptCount val="1"/>
                <c:pt idx="0">
                  <c:v>JAN</c:v>
                </c:pt>
              </c:strCache>
            </c:strRef>
          </c:tx>
          <c:spPr>
            <a:ln w="28575" cap="rnd">
              <a:solidFill>
                <a:srgbClr val="7030A0"/>
              </a:solidFill>
              <a:round/>
            </a:ln>
            <a:effectLst/>
          </c:spPr>
          <c:marker>
            <c:symbol val="none"/>
          </c:marker>
          <c:xVal>
            <c:numRef>
              <c:f>CT_FEB!$A$2:$A$41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xVal>
          <c:yVal>
            <c:numRef>
              <c:f>CT_FEB!$H$2:$H$41</c:f>
              <c:numCache>
                <c:formatCode>General</c:formatCode>
                <c:ptCount val="40"/>
                <c:pt idx="0">
                  <c:v>2.8780000000000001</c:v>
                </c:pt>
                <c:pt idx="1">
                  <c:v>-7.0128000000000021</c:v>
                </c:pt>
                <c:pt idx="2">
                  <c:v>-7.0036000000000023</c:v>
                </c:pt>
                <c:pt idx="3">
                  <c:v>2.1055999999999955</c:v>
                </c:pt>
                <c:pt idx="4">
                  <c:v>-2.4852000000000061</c:v>
                </c:pt>
                <c:pt idx="5">
                  <c:v>-3.2760000000000069</c:v>
                </c:pt>
                <c:pt idx="6">
                  <c:v>2.2331999999999894</c:v>
                </c:pt>
                <c:pt idx="7">
                  <c:v>0.24239999999998929</c:v>
                </c:pt>
                <c:pt idx="8">
                  <c:v>-2.9484000000000137</c:v>
                </c:pt>
                <c:pt idx="9">
                  <c:v>4.6607999999999876</c:v>
                </c:pt>
                <c:pt idx="10">
                  <c:v>8.7699999999999818</c:v>
                </c:pt>
                <c:pt idx="11">
                  <c:v>1.0791999999999824</c:v>
                </c:pt>
                <c:pt idx="12">
                  <c:v>2.5883999999999823</c:v>
                </c:pt>
                <c:pt idx="13">
                  <c:v>3.4975999999999807</c:v>
                </c:pt>
                <c:pt idx="14">
                  <c:v>-7.1932000000000222</c:v>
                </c:pt>
                <c:pt idx="15">
                  <c:v>6.3159999999999741</c:v>
                </c:pt>
                <c:pt idx="16">
                  <c:v>-0.87480000000002534</c:v>
                </c:pt>
                <c:pt idx="17">
                  <c:v>0.73439999999997241</c:v>
                </c:pt>
                <c:pt idx="18">
                  <c:v>6.8435999999999737</c:v>
                </c:pt>
                <c:pt idx="19">
                  <c:v>1.0527999999999693</c:v>
                </c:pt>
                <c:pt idx="20">
                  <c:v>-1.8380000000000294</c:v>
                </c:pt>
                <c:pt idx="21">
                  <c:v>-0.72880000000003164</c:v>
                </c:pt>
                <c:pt idx="22">
                  <c:v>6.6803999999999633</c:v>
                </c:pt>
                <c:pt idx="23">
                  <c:v>-5.3104000000000369</c:v>
                </c:pt>
                <c:pt idx="24">
                  <c:v>-8.1012000000000377</c:v>
                </c:pt>
                <c:pt idx="25">
                  <c:v>-2.5920000000000378</c:v>
                </c:pt>
                <c:pt idx="26">
                  <c:v>6.7171999999999628</c:v>
                </c:pt>
                <c:pt idx="27">
                  <c:v>4.2263999999999591</c:v>
                </c:pt>
                <c:pt idx="28">
                  <c:v>2.5355999999999561</c:v>
                </c:pt>
                <c:pt idx="29">
                  <c:v>-6.2552000000000447</c:v>
                </c:pt>
                <c:pt idx="30">
                  <c:v>-0.34600000000004627</c:v>
                </c:pt>
                <c:pt idx="31">
                  <c:v>-4.2368000000000485</c:v>
                </c:pt>
                <c:pt idx="32">
                  <c:v>4.1723999999999499</c:v>
                </c:pt>
                <c:pt idx="33">
                  <c:v>1.1815999999999498</c:v>
                </c:pt>
                <c:pt idx="34">
                  <c:v>-4.109200000000051</c:v>
                </c:pt>
                <c:pt idx="35">
                  <c:v>-4.5000000000000533</c:v>
                </c:pt>
                <c:pt idx="36">
                  <c:v>1.8091999999999437</c:v>
                </c:pt>
                <c:pt idx="37">
                  <c:v>4.8183999999999401</c:v>
                </c:pt>
                <c:pt idx="38">
                  <c:v>-2.7724000000000579</c:v>
                </c:pt>
              </c:numCache>
            </c:numRef>
          </c:yVal>
          <c:smooth val="1"/>
        </c:ser>
        <c:ser>
          <c:idx val="1"/>
          <c:order val="1"/>
          <c:tx>
            <c:strRef>
              <c:f>CT_FEB!$I$1</c:f>
              <c:strCache>
                <c:ptCount val="1"/>
                <c:pt idx="0">
                  <c:v>FEB</c:v>
                </c:pt>
              </c:strCache>
            </c:strRef>
          </c:tx>
          <c:spPr>
            <a:ln w="28575" cap="rnd">
              <a:solidFill>
                <a:srgbClr val="002A7E">
                  <a:lumMod val="60000"/>
                  <a:lumOff val="40000"/>
                </a:srgbClr>
              </a:solidFill>
              <a:round/>
            </a:ln>
            <a:effectLst/>
          </c:spPr>
          <c:marker>
            <c:symbol val="none"/>
          </c:marker>
          <c:xVal>
            <c:numRef>
              <c:f>CT_FEB!$A$2:$A$41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xVal>
          <c:yVal>
            <c:numRef>
              <c:f>CT_FEB!$I$2:$I$41</c:f>
              <c:numCache>
                <c:formatCode>General</c:formatCode>
                <c:ptCount val="40"/>
                <c:pt idx="0">
                  <c:v>-4.7560000000000002</c:v>
                </c:pt>
                <c:pt idx="1">
                  <c:v>4.7262999999999984</c:v>
                </c:pt>
                <c:pt idx="2">
                  <c:v>-0.79140000000000299</c:v>
                </c:pt>
                <c:pt idx="3">
                  <c:v>0.69089999999999563</c:v>
                </c:pt>
                <c:pt idx="4">
                  <c:v>5.4731999999999914</c:v>
                </c:pt>
                <c:pt idx="5">
                  <c:v>0.25549999999999429</c:v>
                </c:pt>
                <c:pt idx="6">
                  <c:v>-3.1622000000000092</c:v>
                </c:pt>
                <c:pt idx="7">
                  <c:v>-2.5799000000000092</c:v>
                </c:pt>
                <c:pt idx="8">
                  <c:v>-0.69760000000001199</c:v>
                </c:pt>
                <c:pt idx="9">
                  <c:v>-1.2153000000000134</c:v>
                </c:pt>
                <c:pt idx="10">
                  <c:v>3.6669999999999874</c:v>
                </c:pt>
                <c:pt idx="11">
                  <c:v>3.9492999999999832</c:v>
                </c:pt>
                <c:pt idx="12">
                  <c:v>0.83159999999998391</c:v>
                </c:pt>
                <c:pt idx="13">
                  <c:v>-5.8861000000000168</c:v>
                </c:pt>
                <c:pt idx="14">
                  <c:v>-6.2038000000000189</c:v>
                </c:pt>
                <c:pt idx="15">
                  <c:v>-3.2215000000000202</c:v>
                </c:pt>
                <c:pt idx="16">
                  <c:v>-1.6392000000000237</c:v>
                </c:pt>
                <c:pt idx="17">
                  <c:v>4.8430999999999749</c:v>
                </c:pt>
                <c:pt idx="18">
                  <c:v>6.1253999999999778</c:v>
                </c:pt>
                <c:pt idx="19">
                  <c:v>2.6076999999999728</c:v>
                </c:pt>
                <c:pt idx="20">
                  <c:v>2.1899999999999729</c:v>
                </c:pt>
                <c:pt idx="21">
                  <c:v>0.37229999999997077</c:v>
                </c:pt>
                <c:pt idx="22">
                  <c:v>4.9545999999999708</c:v>
                </c:pt>
                <c:pt idx="23">
                  <c:v>-5.3631000000000313</c:v>
                </c:pt>
                <c:pt idx="24">
                  <c:v>-0.68080000000003338</c:v>
                </c:pt>
                <c:pt idx="25">
                  <c:v>0.50149999999996453</c:v>
                </c:pt>
                <c:pt idx="26">
                  <c:v>0.28379999999996386</c:v>
                </c:pt>
                <c:pt idx="27">
                  <c:v>-5.9339000000000368</c:v>
                </c:pt>
                <c:pt idx="28">
                  <c:v>0.54839999999996181</c:v>
                </c:pt>
                <c:pt idx="29">
                  <c:v>0.930699999999959</c:v>
                </c:pt>
                <c:pt idx="30">
                  <c:v>0.51299999999995904</c:v>
                </c:pt>
                <c:pt idx="31">
                  <c:v>-2.2047000000000416</c:v>
                </c:pt>
                <c:pt idx="32">
                  <c:v>5.6775999999999556</c:v>
                </c:pt>
                <c:pt idx="33">
                  <c:v>-0.14010000000004652</c:v>
                </c:pt>
                <c:pt idx="34">
                  <c:v>-4.3578000000000472</c:v>
                </c:pt>
                <c:pt idx="35">
                  <c:v>-13.575500000000048</c:v>
                </c:pt>
                <c:pt idx="36">
                  <c:v>2.60679999999995</c:v>
                </c:pt>
                <c:pt idx="37">
                  <c:v>5.1890999999999501</c:v>
                </c:pt>
                <c:pt idx="38">
                  <c:v>6.1713999999999487</c:v>
                </c:pt>
              </c:numCache>
            </c:numRef>
          </c:yVal>
          <c:smooth val="1"/>
        </c:ser>
        <c:ser>
          <c:idx val="2"/>
          <c:order val="2"/>
          <c:tx>
            <c:strRef>
              <c:f>CT_FEB!$J$1</c:f>
              <c:strCache>
                <c:ptCount val="1"/>
                <c:pt idx="0">
                  <c:v>MAR</c:v>
                </c:pt>
              </c:strCache>
            </c:strRef>
          </c:tx>
          <c:spPr>
            <a:ln w="28575" cap="rnd">
              <a:solidFill>
                <a:schemeClr val="accent3"/>
              </a:solidFill>
              <a:round/>
            </a:ln>
            <a:effectLst/>
          </c:spPr>
          <c:marker>
            <c:symbol val="none"/>
          </c:marker>
          <c:xVal>
            <c:numRef>
              <c:f>CT_FEB!$A$2:$A$41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xVal>
          <c:yVal>
            <c:numRef>
              <c:f>CT_FEB!$J$2:$J$41</c:f>
              <c:numCache>
                <c:formatCode>General</c:formatCode>
                <c:ptCount val="40"/>
                <c:pt idx="0">
                  <c:v>-1.6659999999999968</c:v>
                </c:pt>
                <c:pt idx="1">
                  <c:v>-0.2862000000000009</c:v>
                </c:pt>
                <c:pt idx="2">
                  <c:v>-1.5064000000000064</c:v>
                </c:pt>
                <c:pt idx="3">
                  <c:v>2.2733999999999952</c:v>
                </c:pt>
                <c:pt idx="4">
                  <c:v>-5.3468000000000089</c:v>
                </c:pt>
                <c:pt idx="5">
                  <c:v>2.6329999999999885</c:v>
                </c:pt>
                <c:pt idx="6">
                  <c:v>1.0127999999999844</c:v>
                </c:pt>
                <c:pt idx="7">
                  <c:v>1.8925999999999803</c:v>
                </c:pt>
                <c:pt idx="8">
                  <c:v>0.6723999999999819</c:v>
                </c:pt>
                <c:pt idx="9">
                  <c:v>-0.34780000000002076</c:v>
                </c:pt>
                <c:pt idx="10">
                  <c:v>2.1319999999999766</c:v>
                </c:pt>
                <c:pt idx="11">
                  <c:v>2.9117999999999711</c:v>
                </c:pt>
                <c:pt idx="12">
                  <c:v>-2.9084000000000287</c:v>
                </c:pt>
                <c:pt idx="13">
                  <c:v>-3.4286000000000314</c:v>
                </c:pt>
                <c:pt idx="14">
                  <c:v>-1.3488000000000326</c:v>
                </c:pt>
                <c:pt idx="15">
                  <c:v>2.730999999999959</c:v>
                </c:pt>
                <c:pt idx="16">
                  <c:v>-3.1892000000000422</c:v>
                </c:pt>
                <c:pt idx="17">
                  <c:v>-0.8094000000000463</c:v>
                </c:pt>
                <c:pt idx="18">
                  <c:v>2.670399999999951</c:v>
                </c:pt>
                <c:pt idx="19">
                  <c:v>0.7501999999999498</c:v>
                </c:pt>
                <c:pt idx="20">
                  <c:v>5.2299999999999471</c:v>
                </c:pt>
                <c:pt idx="21">
                  <c:v>-2.5902000000000527</c:v>
                </c:pt>
                <c:pt idx="22">
                  <c:v>1.8895999999999447</c:v>
                </c:pt>
                <c:pt idx="23">
                  <c:v>-0.73060000000005942</c:v>
                </c:pt>
                <c:pt idx="24">
                  <c:v>1.2491999999999379</c:v>
                </c:pt>
                <c:pt idx="25">
                  <c:v>-4.4710000000000676</c:v>
                </c:pt>
                <c:pt idx="26">
                  <c:v>-9.1200000000064563E-2</c:v>
                </c:pt>
                <c:pt idx="27">
                  <c:v>-1.7114000000000686</c:v>
                </c:pt>
                <c:pt idx="28">
                  <c:v>-0.33160000000007273</c:v>
                </c:pt>
                <c:pt idx="29">
                  <c:v>-5.1800000000078228E-2</c:v>
                </c:pt>
                <c:pt idx="30">
                  <c:v>6.127999999999922</c:v>
                </c:pt>
                <c:pt idx="31">
                  <c:v>0.10779999999991929</c:v>
                </c:pt>
                <c:pt idx="32">
                  <c:v>8.8875999999999138</c:v>
                </c:pt>
                <c:pt idx="33">
                  <c:v>-0.93260000000008603</c:v>
                </c:pt>
                <c:pt idx="34">
                  <c:v>-6.3528000000000873</c:v>
                </c:pt>
                <c:pt idx="35">
                  <c:v>-5.9730000000000913</c:v>
                </c:pt>
                <c:pt idx="36">
                  <c:v>6.2067999999999088</c:v>
                </c:pt>
                <c:pt idx="37">
                  <c:v>-3.6134000000000981</c:v>
                </c:pt>
                <c:pt idx="38">
                  <c:v>-0.93360000000009791</c:v>
                </c:pt>
              </c:numCache>
            </c:numRef>
          </c:yVal>
          <c:smooth val="1"/>
        </c:ser>
        <c:dLbls>
          <c:showLegendKey val="0"/>
          <c:showVal val="0"/>
          <c:showCatName val="0"/>
          <c:showSerName val="0"/>
          <c:showPercent val="0"/>
          <c:showBubbleSize val="0"/>
        </c:dLbls>
        <c:axId val="352264840"/>
        <c:axId val="351876776"/>
      </c:scatterChart>
      <c:valAx>
        <c:axId val="352264840"/>
        <c:scaling>
          <c:orientation val="minMax"/>
          <c:max val="2018"/>
          <c:min val="1980"/>
        </c:scaling>
        <c:delete val="0"/>
        <c:axPos val="b"/>
        <c:numFmt formatCode="General" sourceLinked="1"/>
        <c:majorTickMark val="cross"/>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51876776"/>
        <c:crosses val="autoZero"/>
        <c:crossBetween val="midCat"/>
        <c:majorUnit val="5"/>
        <c:minorUnit val="5"/>
      </c:valAx>
      <c:valAx>
        <c:axId val="3518767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rgbClr val="7030A0"/>
                    </a:solidFill>
                    <a:latin typeface="+mn-lt"/>
                    <a:ea typeface="+mn-ea"/>
                    <a:cs typeface="+mn-cs"/>
                  </a:defRPr>
                </a:pPr>
                <a:r>
                  <a:rPr lang="en-US" sz="1000">
                    <a:solidFill>
                      <a:srgbClr val="7030A0"/>
                    </a:solidFill>
                  </a:rPr>
                  <a:t>Temperature</a:t>
                </a:r>
                <a:r>
                  <a:rPr lang="en-US" sz="1000" baseline="0">
                    <a:solidFill>
                      <a:srgbClr val="7030A0"/>
                    </a:solidFill>
                  </a:rPr>
                  <a:t> Anomalies (deg F)</a:t>
                </a:r>
                <a:endParaRPr lang="en-US" sz="1000">
                  <a:solidFill>
                    <a:srgbClr val="7030A0"/>
                  </a:solidFill>
                </a:endParaRPr>
              </a:p>
            </c:rich>
          </c:tx>
          <c:layout>
            <c:manualLayout>
              <c:xMode val="edge"/>
              <c:yMode val="edge"/>
              <c:x val="1.6404199475065617E-2"/>
              <c:y val="0.22629462066140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rgbClr val="7030A0"/>
                  </a:solidFill>
                  <a:latin typeface="+mn-lt"/>
                  <a:ea typeface="+mn-ea"/>
                  <a:cs typeface="+mn-cs"/>
                </a:defRPr>
              </a:pPr>
              <a:endParaRPr lang="en-US"/>
            </a:p>
          </c:txPr>
        </c:title>
        <c:numFmt formatCode="General" sourceLinked="1"/>
        <c:majorTickMark val="in"/>
        <c:minorTickMark val="none"/>
        <c:tickLblPos val="nextTo"/>
        <c:spPr>
          <a:noFill/>
          <a:ln>
            <a:solidFill>
              <a:srgbClr val="FFFFFF">
                <a:lumMod val="85000"/>
              </a:srgbClr>
            </a:solidFill>
          </a:ln>
          <a:effectLst/>
        </c:spPr>
        <c:txPr>
          <a:bodyPr rot="-60000000" spcFirstLastPara="1" vertOverflow="ellipsis" vert="horz" wrap="square" anchor="ctr" anchorCtr="1"/>
          <a:lstStyle/>
          <a:p>
            <a:pPr>
              <a:defRPr sz="1000" b="0" i="0" u="none" strike="noStrike" kern="1200" baseline="0">
                <a:solidFill>
                  <a:srgbClr val="7030A0"/>
                </a:solidFill>
                <a:latin typeface="+mn-lt"/>
                <a:ea typeface="+mn-ea"/>
                <a:cs typeface="+mn-cs"/>
              </a:defRPr>
            </a:pPr>
            <a:endParaRPr lang="en-US"/>
          </a:p>
        </c:txPr>
        <c:crossAx val="352264840"/>
        <c:crosses val="autoZero"/>
        <c:crossBetween val="midCat"/>
        <c:majorUnit val="5"/>
      </c:valAx>
      <c:spPr>
        <a:noFill/>
        <a:ln>
          <a:noFill/>
        </a:ln>
        <a:effectLst/>
      </c:spPr>
    </c:plotArea>
    <c:legend>
      <c:legendPos val="b"/>
      <c:layout>
        <c:manualLayout>
          <c:xMode val="edge"/>
          <c:yMode val="edge"/>
          <c:x val="0.88669123090382929"/>
          <c:y val="0.10408798019190332"/>
          <c:w val="9.8375900127868607E-2"/>
          <c:h val="0.17008865081292149"/>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rgbClr val="FFFFFF"/>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282322450279472E-2"/>
          <c:y val="6.5722475602874017E-2"/>
          <c:w val="0.75011339928662768"/>
          <c:h val="0.81203773590189898"/>
        </c:manualLayout>
      </c:layout>
      <c:lineChart>
        <c:grouping val="standard"/>
        <c:varyColors val="0"/>
        <c:ser>
          <c:idx val="0"/>
          <c:order val="0"/>
          <c:tx>
            <c:strRef>
              <c:f>NE_Mar!$N$1</c:f>
              <c:strCache>
                <c:ptCount val="1"/>
                <c:pt idx="0">
                  <c:v>CT</c:v>
                </c:pt>
              </c:strCache>
            </c:strRef>
          </c:tx>
          <c:spPr>
            <a:ln w="38100" cap="rnd">
              <a:solidFill>
                <a:schemeClr val="bg1">
                  <a:lumMod val="50000"/>
                </a:schemeClr>
              </a:solidFill>
              <a:round/>
            </a:ln>
            <a:effectLst/>
          </c:spPr>
          <c:marker>
            <c:symbol val="none"/>
          </c:marker>
          <c:cat>
            <c:numRef>
              <c:f>NE_Mar!$A$2:$A$41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NE_Mar!$N$2:$N$41</c:f>
              <c:numCache>
                <c:formatCode>General</c:formatCode>
                <c:ptCount val="40"/>
                <c:pt idx="0">
                  <c:v>-4.7560000000000002</c:v>
                </c:pt>
                <c:pt idx="1">
                  <c:v>4.7262999999999984</c:v>
                </c:pt>
                <c:pt idx="2">
                  <c:v>-0.79140000000000299</c:v>
                </c:pt>
                <c:pt idx="3">
                  <c:v>0.69089999999999563</c:v>
                </c:pt>
                <c:pt idx="4">
                  <c:v>5.4731999999999914</c:v>
                </c:pt>
                <c:pt idx="5">
                  <c:v>0.25549999999999429</c:v>
                </c:pt>
                <c:pt idx="6">
                  <c:v>-3.1622000000000092</c:v>
                </c:pt>
                <c:pt idx="7">
                  <c:v>-2.5799000000000092</c:v>
                </c:pt>
                <c:pt idx="8">
                  <c:v>-0.69760000000001199</c:v>
                </c:pt>
                <c:pt idx="9">
                  <c:v>-1.2153000000000134</c:v>
                </c:pt>
                <c:pt idx="10">
                  <c:v>3.6669999999999874</c:v>
                </c:pt>
                <c:pt idx="11">
                  <c:v>3.9492999999999832</c:v>
                </c:pt>
                <c:pt idx="12">
                  <c:v>0.83159999999998391</c:v>
                </c:pt>
                <c:pt idx="13">
                  <c:v>-5.8861000000000168</c:v>
                </c:pt>
                <c:pt idx="14">
                  <c:v>-6.2038000000000189</c:v>
                </c:pt>
                <c:pt idx="15">
                  <c:v>-3.2215000000000202</c:v>
                </c:pt>
                <c:pt idx="16">
                  <c:v>-1.6392000000000237</c:v>
                </c:pt>
                <c:pt idx="17">
                  <c:v>4.8430999999999749</c:v>
                </c:pt>
                <c:pt idx="18">
                  <c:v>6.1253999999999778</c:v>
                </c:pt>
                <c:pt idx="19">
                  <c:v>2.6076999999999728</c:v>
                </c:pt>
                <c:pt idx="20">
                  <c:v>2.1899999999999729</c:v>
                </c:pt>
                <c:pt idx="21">
                  <c:v>0.37229999999997077</c:v>
                </c:pt>
                <c:pt idx="22">
                  <c:v>4.9545999999999708</c:v>
                </c:pt>
                <c:pt idx="23">
                  <c:v>-5.3631000000000313</c:v>
                </c:pt>
                <c:pt idx="24">
                  <c:v>-0.68080000000003338</c:v>
                </c:pt>
                <c:pt idx="25">
                  <c:v>0.50149999999996453</c:v>
                </c:pt>
                <c:pt idx="26">
                  <c:v>0.28379999999996386</c:v>
                </c:pt>
                <c:pt idx="27">
                  <c:v>-5.9339000000000368</c:v>
                </c:pt>
                <c:pt idx="28">
                  <c:v>0.54839999999996181</c:v>
                </c:pt>
                <c:pt idx="29">
                  <c:v>0.930699999999959</c:v>
                </c:pt>
                <c:pt idx="30">
                  <c:v>0.51299999999995904</c:v>
                </c:pt>
                <c:pt idx="31">
                  <c:v>-2.2047000000000416</c:v>
                </c:pt>
                <c:pt idx="32">
                  <c:v>5.6775999999999556</c:v>
                </c:pt>
                <c:pt idx="33">
                  <c:v>-0.14010000000004652</c:v>
                </c:pt>
                <c:pt idx="34">
                  <c:v>-4.3578000000000472</c:v>
                </c:pt>
                <c:pt idx="35">
                  <c:v>-13.575500000000048</c:v>
                </c:pt>
                <c:pt idx="36">
                  <c:v>2.60679999999995</c:v>
                </c:pt>
                <c:pt idx="37">
                  <c:v>5.1890999999999501</c:v>
                </c:pt>
                <c:pt idx="38">
                  <c:v>6.1713999999999487</c:v>
                </c:pt>
              </c:numCache>
            </c:numRef>
          </c:val>
          <c:smooth val="0"/>
        </c:ser>
        <c:ser>
          <c:idx val="1"/>
          <c:order val="1"/>
          <c:tx>
            <c:strRef>
              <c:f>NE_Mar!$O$1</c:f>
              <c:strCache>
                <c:ptCount val="1"/>
                <c:pt idx="0">
                  <c:v>MA</c:v>
                </c:pt>
              </c:strCache>
            </c:strRef>
          </c:tx>
          <c:spPr>
            <a:ln w="12700" cap="rnd">
              <a:solidFill>
                <a:srgbClr val="FF0000"/>
              </a:solidFill>
              <a:prstDash val="sysDash"/>
              <a:round/>
            </a:ln>
            <a:effectLst/>
          </c:spPr>
          <c:marker>
            <c:symbol val="none"/>
          </c:marker>
          <c:cat>
            <c:numRef>
              <c:f>NE_Mar!$A$2:$A$41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NE_Mar!$O$2:$O$41</c:f>
              <c:numCache>
                <c:formatCode>General</c:formatCode>
                <c:ptCount val="40"/>
                <c:pt idx="0">
                  <c:v>-4.4280000000000008</c:v>
                </c:pt>
                <c:pt idx="1">
                  <c:v>5.0452999999999939</c:v>
                </c:pt>
                <c:pt idx="2">
                  <c:v>-1.1814000000000036</c:v>
                </c:pt>
                <c:pt idx="3">
                  <c:v>0.99189999999999401</c:v>
                </c:pt>
                <c:pt idx="4">
                  <c:v>5.9651999999999887</c:v>
                </c:pt>
                <c:pt idx="5">
                  <c:v>0.53849999999998843</c:v>
                </c:pt>
                <c:pt idx="6">
                  <c:v>-2.7882000000000104</c:v>
                </c:pt>
                <c:pt idx="7">
                  <c:v>-2.8149000000000122</c:v>
                </c:pt>
                <c:pt idx="8">
                  <c:v>-0.6416000000000146</c:v>
                </c:pt>
                <c:pt idx="9">
                  <c:v>-1.6683000000000163</c:v>
                </c:pt>
                <c:pt idx="10">
                  <c:v>2.6049999999999827</c:v>
                </c:pt>
                <c:pt idx="11">
                  <c:v>4.0782999999999809</c:v>
                </c:pt>
                <c:pt idx="12">
                  <c:v>0.65159999999997709</c:v>
                </c:pt>
                <c:pt idx="13">
                  <c:v>-6.7751000000000232</c:v>
                </c:pt>
                <c:pt idx="14">
                  <c:v>-5.7018000000000271</c:v>
                </c:pt>
                <c:pt idx="15">
                  <c:v>-3.1285000000000274</c:v>
                </c:pt>
                <c:pt idx="16">
                  <c:v>-1.6552000000000291</c:v>
                </c:pt>
                <c:pt idx="17">
                  <c:v>4.8180999999999692</c:v>
                </c:pt>
                <c:pt idx="18">
                  <c:v>5.9913999999999703</c:v>
                </c:pt>
                <c:pt idx="19">
                  <c:v>2.8646999999999672</c:v>
                </c:pt>
                <c:pt idx="20">
                  <c:v>2.3379999999999654</c:v>
                </c:pt>
                <c:pt idx="21">
                  <c:v>1.1299999999963006E-2</c:v>
                </c:pt>
                <c:pt idx="22">
                  <c:v>4.5845999999999592</c:v>
                </c:pt>
                <c:pt idx="23">
                  <c:v>-5.0421000000000404</c:v>
                </c:pt>
                <c:pt idx="24">
                  <c:v>-0.46880000000004429</c:v>
                </c:pt>
                <c:pt idx="25">
                  <c:v>0.3044999999999547</c:v>
                </c:pt>
                <c:pt idx="26">
                  <c:v>0.27779999999995297</c:v>
                </c:pt>
                <c:pt idx="27">
                  <c:v>-5.5489000000000495</c:v>
                </c:pt>
                <c:pt idx="28">
                  <c:v>0.62439999999995166</c:v>
                </c:pt>
                <c:pt idx="29">
                  <c:v>0.59769999999994994</c:v>
                </c:pt>
                <c:pt idx="30">
                  <c:v>1.2709999999999475</c:v>
                </c:pt>
                <c:pt idx="31">
                  <c:v>-2.5557000000000549</c:v>
                </c:pt>
                <c:pt idx="32">
                  <c:v>5.5175999999999448</c:v>
                </c:pt>
                <c:pt idx="33">
                  <c:v>0.29089999999994021</c:v>
                </c:pt>
                <c:pt idx="34">
                  <c:v>-4.0358000000000587</c:v>
                </c:pt>
                <c:pt idx="35">
                  <c:v>-13.562500000000062</c:v>
                </c:pt>
                <c:pt idx="36">
                  <c:v>2.710799999999935</c:v>
                </c:pt>
                <c:pt idx="37">
                  <c:v>4.8840999999999362</c:v>
                </c:pt>
                <c:pt idx="38">
                  <c:v>6.0573999999999302</c:v>
                </c:pt>
              </c:numCache>
            </c:numRef>
          </c:val>
          <c:smooth val="0"/>
        </c:ser>
        <c:ser>
          <c:idx val="2"/>
          <c:order val="2"/>
          <c:tx>
            <c:strRef>
              <c:f>NE_Mar!$P$1</c:f>
              <c:strCache>
                <c:ptCount val="1"/>
                <c:pt idx="0">
                  <c:v>ME</c:v>
                </c:pt>
              </c:strCache>
            </c:strRef>
          </c:tx>
          <c:spPr>
            <a:ln w="12700" cap="rnd">
              <a:solidFill>
                <a:schemeClr val="accent6"/>
              </a:solidFill>
              <a:prstDash val="sysDash"/>
              <a:round/>
            </a:ln>
            <a:effectLst/>
          </c:spPr>
          <c:marker>
            <c:symbol val="none"/>
          </c:marker>
          <c:cat>
            <c:numRef>
              <c:f>NE_Mar!$A$2:$A$41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NE_Mar!$P$2:$P$41</c:f>
              <c:numCache>
                <c:formatCode>General</c:formatCode>
                <c:ptCount val="40"/>
                <c:pt idx="0">
                  <c:v>-2.7139999999999986</c:v>
                </c:pt>
                <c:pt idx="1">
                  <c:v>9.5652000000000008</c:v>
                </c:pt>
                <c:pt idx="2">
                  <c:v>-3.2556000000000012</c:v>
                </c:pt>
                <c:pt idx="3">
                  <c:v>2.1235999999999962</c:v>
                </c:pt>
                <c:pt idx="4">
                  <c:v>8.1027999999999949</c:v>
                </c:pt>
                <c:pt idx="5">
                  <c:v>2.0819999999999936</c:v>
                </c:pt>
                <c:pt idx="6">
                  <c:v>-1.8388000000000062</c:v>
                </c:pt>
                <c:pt idx="7">
                  <c:v>-2.3596000000000075</c:v>
                </c:pt>
                <c:pt idx="8">
                  <c:v>-0.28040000000000731</c:v>
                </c:pt>
                <c:pt idx="9">
                  <c:v>-2.40120000000001</c:v>
                </c:pt>
                <c:pt idx="10">
                  <c:v>-1.0220000000000127</c:v>
                </c:pt>
                <c:pt idx="11">
                  <c:v>2.5571999999999875</c:v>
                </c:pt>
                <c:pt idx="12">
                  <c:v>-1.2636000000000145</c:v>
                </c:pt>
                <c:pt idx="13">
                  <c:v>-10.384400000000015</c:v>
                </c:pt>
                <c:pt idx="14">
                  <c:v>-6.1052000000000159</c:v>
                </c:pt>
                <c:pt idx="15">
                  <c:v>-4.5260000000000176</c:v>
                </c:pt>
                <c:pt idx="16">
                  <c:v>-0.64680000000002025</c:v>
                </c:pt>
                <c:pt idx="17">
                  <c:v>0.6323999999999792</c:v>
                </c:pt>
                <c:pt idx="18">
                  <c:v>6.6115999999999779</c:v>
                </c:pt>
                <c:pt idx="19">
                  <c:v>3.790799999999976</c:v>
                </c:pt>
                <c:pt idx="20">
                  <c:v>0.56999999999997542</c:v>
                </c:pt>
                <c:pt idx="21">
                  <c:v>-1.6508000000000251</c:v>
                </c:pt>
                <c:pt idx="22">
                  <c:v>2.7283999999999722</c:v>
                </c:pt>
                <c:pt idx="23">
                  <c:v>-5.4924000000000284</c:v>
                </c:pt>
                <c:pt idx="24">
                  <c:v>0.28679999999997108</c:v>
                </c:pt>
                <c:pt idx="25">
                  <c:v>1.8659999999999712</c:v>
                </c:pt>
                <c:pt idx="26">
                  <c:v>1.2451999999999686</c:v>
                </c:pt>
                <c:pt idx="27">
                  <c:v>-6.1756000000000331</c:v>
                </c:pt>
                <c:pt idx="28">
                  <c:v>0.70359999999996603</c:v>
                </c:pt>
                <c:pt idx="29">
                  <c:v>1.0827999999999633</c:v>
                </c:pt>
                <c:pt idx="30">
                  <c:v>6.7619999999999649</c:v>
                </c:pt>
                <c:pt idx="31">
                  <c:v>-1.6588000000000385</c:v>
                </c:pt>
                <c:pt idx="32">
                  <c:v>3.5203999999999596</c:v>
                </c:pt>
                <c:pt idx="33">
                  <c:v>2.0995999999999597</c:v>
                </c:pt>
                <c:pt idx="34">
                  <c:v>-2.2212000000000423</c:v>
                </c:pt>
                <c:pt idx="35">
                  <c:v>-12.742000000000044</c:v>
                </c:pt>
                <c:pt idx="36">
                  <c:v>3.9371999999999545</c:v>
                </c:pt>
                <c:pt idx="37">
                  <c:v>2.716399999999954</c:v>
                </c:pt>
                <c:pt idx="38">
                  <c:v>4.5955999999999548</c:v>
                </c:pt>
              </c:numCache>
            </c:numRef>
          </c:val>
          <c:smooth val="0"/>
        </c:ser>
        <c:ser>
          <c:idx val="3"/>
          <c:order val="3"/>
          <c:tx>
            <c:strRef>
              <c:f>NE_Mar!$Q$1</c:f>
              <c:strCache>
                <c:ptCount val="1"/>
                <c:pt idx="0">
                  <c:v>RI</c:v>
                </c:pt>
              </c:strCache>
            </c:strRef>
          </c:tx>
          <c:spPr>
            <a:ln w="12700" cap="rnd">
              <a:solidFill>
                <a:srgbClr val="00B050"/>
              </a:solidFill>
              <a:prstDash val="sysDash"/>
              <a:round/>
            </a:ln>
            <a:effectLst/>
          </c:spPr>
          <c:marker>
            <c:symbol val="none"/>
          </c:marker>
          <c:cat>
            <c:numRef>
              <c:f>NE_Mar!$A$2:$A$41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NE_Mar!$Q$2:$Q$41</c:f>
              <c:numCache>
                <c:formatCode>General</c:formatCode>
                <c:ptCount val="40"/>
                <c:pt idx="0">
                  <c:v>-4.3859999999999992</c:v>
                </c:pt>
                <c:pt idx="1">
                  <c:v>4.589100000000002</c:v>
                </c:pt>
                <c:pt idx="2">
                  <c:v>-0.33579999999999899</c:v>
                </c:pt>
                <c:pt idx="3">
                  <c:v>0.73930000000000362</c:v>
                </c:pt>
                <c:pt idx="4">
                  <c:v>5.5144000000000055</c:v>
                </c:pt>
                <c:pt idx="5">
                  <c:v>8.9500000000004576E-2</c:v>
                </c:pt>
                <c:pt idx="6">
                  <c:v>-2.7353999999999949</c:v>
                </c:pt>
                <c:pt idx="7">
                  <c:v>-2.6602999999999923</c:v>
                </c:pt>
                <c:pt idx="8">
                  <c:v>-8.5199999999989728E-2</c:v>
                </c:pt>
                <c:pt idx="9">
                  <c:v>-1.9100999999999893</c:v>
                </c:pt>
                <c:pt idx="10">
                  <c:v>2.6650000000000098</c:v>
                </c:pt>
                <c:pt idx="11">
                  <c:v>3.3401000000000138</c:v>
                </c:pt>
                <c:pt idx="12">
                  <c:v>0.51520000000001431</c:v>
                </c:pt>
                <c:pt idx="13">
                  <c:v>-5.9096999999999866</c:v>
                </c:pt>
                <c:pt idx="14">
                  <c:v>-5.7345999999999826</c:v>
                </c:pt>
                <c:pt idx="15">
                  <c:v>-2.5594999999999821</c:v>
                </c:pt>
                <c:pt idx="16">
                  <c:v>-2.0843999999999809</c:v>
                </c:pt>
                <c:pt idx="17">
                  <c:v>4.9907000000000181</c:v>
                </c:pt>
                <c:pt idx="18">
                  <c:v>5.5658000000000207</c:v>
                </c:pt>
                <c:pt idx="19">
                  <c:v>2.9409000000000205</c:v>
                </c:pt>
                <c:pt idx="20">
                  <c:v>2.5160000000000231</c:v>
                </c:pt>
                <c:pt idx="21">
                  <c:v>0.39110000000002287</c:v>
                </c:pt>
                <c:pt idx="22">
                  <c:v>4.3662000000000241</c:v>
                </c:pt>
                <c:pt idx="23">
                  <c:v>-5.358699999999974</c:v>
                </c:pt>
                <c:pt idx="24">
                  <c:v>0.31640000000002644</c:v>
                </c:pt>
                <c:pt idx="25">
                  <c:v>-0.30849999999997024</c:v>
                </c:pt>
                <c:pt idx="26">
                  <c:v>-3.3399999999968344E-2</c:v>
                </c:pt>
                <c:pt idx="27">
                  <c:v>-5.25829999999997</c:v>
                </c:pt>
                <c:pt idx="28">
                  <c:v>1.1168000000000333</c:v>
                </c:pt>
                <c:pt idx="29">
                  <c:v>1.2919000000000338</c:v>
                </c:pt>
                <c:pt idx="30">
                  <c:v>0.66700000000003357</c:v>
                </c:pt>
                <c:pt idx="31">
                  <c:v>-1.9578999999999631</c:v>
                </c:pt>
                <c:pt idx="32">
                  <c:v>4.9172000000000402</c:v>
                </c:pt>
                <c:pt idx="33">
                  <c:v>-0.60769999999996216</c:v>
                </c:pt>
                <c:pt idx="34">
                  <c:v>-3.632599999999961</c:v>
                </c:pt>
                <c:pt idx="35">
                  <c:v>-13.15749999999996</c:v>
                </c:pt>
                <c:pt idx="36">
                  <c:v>2.2176000000000435</c:v>
                </c:pt>
                <c:pt idx="37">
                  <c:v>4.2927000000000461</c:v>
                </c:pt>
                <c:pt idx="38">
                  <c:v>6.6678000000000459</c:v>
                </c:pt>
              </c:numCache>
            </c:numRef>
          </c:val>
          <c:smooth val="0"/>
        </c:ser>
        <c:ser>
          <c:idx val="4"/>
          <c:order val="4"/>
          <c:tx>
            <c:strRef>
              <c:f>NE_Mar!$R$1</c:f>
              <c:strCache>
                <c:ptCount val="1"/>
                <c:pt idx="0">
                  <c:v>VT</c:v>
                </c:pt>
              </c:strCache>
            </c:strRef>
          </c:tx>
          <c:spPr>
            <a:ln w="12700" cap="rnd">
              <a:solidFill>
                <a:schemeClr val="accent5">
                  <a:lumMod val="60000"/>
                  <a:lumOff val="40000"/>
                </a:schemeClr>
              </a:solidFill>
              <a:prstDash val="sysDash"/>
              <a:round/>
            </a:ln>
            <a:effectLst/>
          </c:spPr>
          <c:marker>
            <c:symbol val="none"/>
          </c:marker>
          <c:cat>
            <c:numRef>
              <c:f>NE_Mar!$A$2:$A$41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NE_Mar!$R$2:$R$41</c:f>
              <c:numCache>
                <c:formatCode>General</c:formatCode>
                <c:ptCount val="40"/>
                <c:pt idx="0">
                  <c:v>-3.9029999999999987</c:v>
                </c:pt>
                <c:pt idx="1">
                  <c:v>9.1582000000000008</c:v>
                </c:pt>
                <c:pt idx="2">
                  <c:v>-1.5805999999999969</c:v>
                </c:pt>
                <c:pt idx="3">
                  <c:v>1.8806000000000047</c:v>
                </c:pt>
                <c:pt idx="4">
                  <c:v>8.0418000000000056</c:v>
                </c:pt>
                <c:pt idx="5">
                  <c:v>1.6030000000000086</c:v>
                </c:pt>
                <c:pt idx="6">
                  <c:v>-3.7357999999999905</c:v>
                </c:pt>
                <c:pt idx="7">
                  <c:v>-5.2745999999999889</c:v>
                </c:pt>
                <c:pt idx="8">
                  <c:v>-0.61339999999998795</c:v>
                </c:pt>
                <c:pt idx="9">
                  <c:v>-1.9521999999999835</c:v>
                </c:pt>
                <c:pt idx="10">
                  <c:v>1.609000000000016</c:v>
                </c:pt>
                <c:pt idx="11">
                  <c:v>4.2702000000000169</c:v>
                </c:pt>
                <c:pt idx="12">
                  <c:v>-0.6685999999999801</c:v>
                </c:pt>
                <c:pt idx="13">
                  <c:v>-10.007399999999979</c:v>
                </c:pt>
                <c:pt idx="14">
                  <c:v>-6.8461999999999765</c:v>
                </c:pt>
                <c:pt idx="15">
                  <c:v>-3.584999999999976</c:v>
                </c:pt>
                <c:pt idx="16">
                  <c:v>-0.92379999999997509</c:v>
                </c:pt>
                <c:pt idx="17">
                  <c:v>3.8374000000000272</c:v>
                </c:pt>
                <c:pt idx="18">
                  <c:v>6.698600000000031</c:v>
                </c:pt>
                <c:pt idx="19">
                  <c:v>2.7598000000000305</c:v>
                </c:pt>
                <c:pt idx="20">
                  <c:v>1.3210000000000335</c:v>
                </c:pt>
                <c:pt idx="21">
                  <c:v>-1.7799999999965621E-2</c:v>
                </c:pt>
                <c:pt idx="22">
                  <c:v>4.443400000000036</c:v>
                </c:pt>
                <c:pt idx="23">
                  <c:v>-5.3953999999999631</c:v>
                </c:pt>
                <c:pt idx="24">
                  <c:v>-2.1341999999999608</c:v>
                </c:pt>
                <c:pt idx="25">
                  <c:v>1.4270000000000422</c:v>
                </c:pt>
                <c:pt idx="26">
                  <c:v>1.5882000000000431</c:v>
                </c:pt>
                <c:pt idx="27">
                  <c:v>-6.9505999999999553</c:v>
                </c:pt>
                <c:pt idx="28">
                  <c:v>0.71060000000004564</c:v>
                </c:pt>
                <c:pt idx="29">
                  <c:v>0.77180000000004867</c:v>
                </c:pt>
                <c:pt idx="30">
                  <c:v>3.6330000000000489</c:v>
                </c:pt>
                <c:pt idx="31">
                  <c:v>-2.3057999999999481</c:v>
                </c:pt>
                <c:pt idx="32">
                  <c:v>5.6554000000000535</c:v>
                </c:pt>
                <c:pt idx="33">
                  <c:v>1.5166000000000537</c:v>
                </c:pt>
                <c:pt idx="34">
                  <c:v>-3.4221999999999433</c:v>
                </c:pt>
                <c:pt idx="35">
                  <c:v>-14.760999999999942</c:v>
                </c:pt>
                <c:pt idx="36">
                  <c:v>3.8002000000000571</c:v>
                </c:pt>
                <c:pt idx="37">
                  <c:v>5.5614000000000594</c:v>
                </c:pt>
                <c:pt idx="38">
                  <c:v>5.3226000000000617</c:v>
                </c:pt>
              </c:numCache>
            </c:numRef>
          </c:val>
          <c:smooth val="0"/>
        </c:ser>
        <c:ser>
          <c:idx val="5"/>
          <c:order val="5"/>
          <c:tx>
            <c:strRef>
              <c:f>NE_Mar!$S$1</c:f>
              <c:strCache>
                <c:ptCount val="1"/>
                <c:pt idx="0">
                  <c:v>NH</c:v>
                </c:pt>
              </c:strCache>
            </c:strRef>
          </c:tx>
          <c:spPr>
            <a:ln w="12700" cap="rnd">
              <a:solidFill>
                <a:srgbClr val="7030A0"/>
              </a:solidFill>
              <a:prstDash val="sysDash"/>
              <a:round/>
            </a:ln>
            <a:effectLst/>
          </c:spPr>
          <c:marker>
            <c:symbol val="none"/>
          </c:marker>
          <c:cat>
            <c:numRef>
              <c:f>NE_Mar!$A$2:$A$41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NE_Mar!$S$2:$S$41</c:f>
              <c:numCache>
                <c:formatCode>General</c:formatCode>
                <c:ptCount val="40"/>
                <c:pt idx="0">
                  <c:v>-3.9639999999999986</c:v>
                </c:pt>
                <c:pt idx="1">
                  <c:v>7.609099999999998</c:v>
                </c:pt>
                <c:pt idx="2">
                  <c:v>-2.3178000000000019</c:v>
                </c:pt>
                <c:pt idx="3">
                  <c:v>2.1552999999999969</c:v>
                </c:pt>
                <c:pt idx="4">
                  <c:v>7.4283999999999963</c:v>
                </c:pt>
                <c:pt idx="5">
                  <c:v>1.3014999999999937</c:v>
                </c:pt>
                <c:pt idx="6">
                  <c:v>-3.1254000000000062</c:v>
                </c:pt>
                <c:pt idx="7">
                  <c:v>-3.3523000000000067</c:v>
                </c:pt>
                <c:pt idx="8">
                  <c:v>-0.57920000000001082</c:v>
                </c:pt>
                <c:pt idx="9">
                  <c:v>-1.7061000000000099</c:v>
                </c:pt>
                <c:pt idx="10">
                  <c:v>1.1669999999999874</c:v>
                </c:pt>
                <c:pt idx="11">
                  <c:v>3.6400999999999861</c:v>
                </c:pt>
                <c:pt idx="12">
                  <c:v>0.41319999999998558</c:v>
                </c:pt>
                <c:pt idx="13">
                  <c:v>-9.1137000000000157</c:v>
                </c:pt>
                <c:pt idx="14">
                  <c:v>-6.3406000000000162</c:v>
                </c:pt>
                <c:pt idx="15">
                  <c:v>-3.4675000000000189</c:v>
                </c:pt>
                <c:pt idx="16">
                  <c:v>-1.594400000000018</c:v>
                </c:pt>
                <c:pt idx="17">
                  <c:v>3.6786999999999779</c:v>
                </c:pt>
                <c:pt idx="18">
                  <c:v>6.5517999999999788</c:v>
                </c:pt>
                <c:pt idx="19">
                  <c:v>3.1248999999999754</c:v>
                </c:pt>
                <c:pt idx="20">
                  <c:v>1.4979999999999762</c:v>
                </c:pt>
                <c:pt idx="21">
                  <c:v>-0.52890000000002502</c:v>
                </c:pt>
                <c:pt idx="22">
                  <c:v>3.644199999999973</c:v>
                </c:pt>
                <c:pt idx="23">
                  <c:v>-5.0827000000000275</c:v>
                </c:pt>
                <c:pt idx="24">
                  <c:v>-0.70960000000003021</c:v>
                </c:pt>
                <c:pt idx="25">
                  <c:v>1.0634999999999692</c:v>
                </c:pt>
                <c:pt idx="26">
                  <c:v>1.036599999999968</c:v>
                </c:pt>
                <c:pt idx="27">
                  <c:v>-6.5903000000000329</c:v>
                </c:pt>
                <c:pt idx="28">
                  <c:v>0.68279999999996477</c:v>
                </c:pt>
                <c:pt idx="29">
                  <c:v>0.15589999999996351</c:v>
                </c:pt>
                <c:pt idx="30">
                  <c:v>3.7289999999999637</c:v>
                </c:pt>
                <c:pt idx="31">
                  <c:v>-2.897900000000039</c:v>
                </c:pt>
                <c:pt idx="32">
                  <c:v>5.275199999999959</c:v>
                </c:pt>
                <c:pt idx="33">
                  <c:v>1.4482999999999606</c:v>
                </c:pt>
                <c:pt idx="34">
                  <c:v>-3.5786000000000406</c:v>
                </c:pt>
                <c:pt idx="35">
                  <c:v>-13.605500000000044</c:v>
                </c:pt>
                <c:pt idx="36">
                  <c:v>3.8675999999999569</c:v>
                </c:pt>
                <c:pt idx="37">
                  <c:v>4.9406999999999535</c:v>
                </c:pt>
                <c:pt idx="38">
                  <c:v>5.2137999999999529</c:v>
                </c:pt>
              </c:numCache>
            </c:numRef>
          </c:val>
          <c:smooth val="0"/>
        </c:ser>
        <c:dLbls>
          <c:showLegendKey val="0"/>
          <c:showVal val="0"/>
          <c:showCatName val="0"/>
          <c:showSerName val="0"/>
          <c:showPercent val="0"/>
          <c:showBubbleSize val="0"/>
        </c:dLbls>
        <c:smooth val="0"/>
        <c:axId val="212742064"/>
        <c:axId val="212742456"/>
      </c:lineChart>
      <c:catAx>
        <c:axId val="212742064"/>
        <c:scaling>
          <c:orientation val="minMax"/>
        </c:scaling>
        <c:delete val="0"/>
        <c:axPos val="b"/>
        <c:numFmt formatCode="General" sourceLinked="1"/>
        <c:majorTickMark val="cross"/>
        <c:minorTickMark val="none"/>
        <c:tickLblPos val="low"/>
        <c:spPr>
          <a:noFill/>
          <a:ln w="9525" cap="flat" cmpd="sng" algn="ctr">
            <a:solidFill>
              <a:schemeClr val="tx1">
                <a:lumMod val="75000"/>
              </a:schemeClr>
            </a:solidFill>
            <a:round/>
          </a:ln>
          <a:effectLst/>
        </c:spPr>
        <c:txPr>
          <a:bodyPr rot="0" spcFirstLastPara="1" vertOverflow="ellipsis" wrap="square" anchor="b" anchorCtr="1"/>
          <a:lstStyle/>
          <a:p>
            <a:pPr>
              <a:defRPr sz="1000" b="0" i="0" u="none" strike="noStrike" kern="1200" baseline="0">
                <a:solidFill>
                  <a:srgbClr val="000000"/>
                </a:solidFill>
                <a:latin typeface="+mn-lt"/>
                <a:ea typeface="+mn-ea"/>
                <a:cs typeface="+mn-cs"/>
              </a:defRPr>
            </a:pPr>
            <a:endParaRPr lang="en-US"/>
          </a:p>
        </c:txPr>
        <c:crossAx val="212742456"/>
        <c:crosses val="autoZero"/>
        <c:auto val="1"/>
        <c:lblAlgn val="ctr"/>
        <c:lblOffset val="100"/>
        <c:tickLblSkip val="5"/>
        <c:tickMarkSkip val="5"/>
        <c:noMultiLvlLbl val="0"/>
      </c:catAx>
      <c:valAx>
        <c:axId val="212742456"/>
        <c:scaling>
          <c:orientation val="minMax"/>
          <c:max val="10"/>
          <c:min val="-1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rgbClr val="000000"/>
                    </a:solidFill>
                    <a:latin typeface="+mn-lt"/>
                    <a:ea typeface="+mn-ea"/>
                    <a:cs typeface="+mn-cs"/>
                  </a:defRPr>
                </a:pPr>
                <a:r>
                  <a:rPr lang="en-US" sz="1000">
                    <a:solidFill>
                      <a:srgbClr val="000000"/>
                    </a:solidFill>
                  </a:rPr>
                  <a:t>Anomoly</a:t>
                </a:r>
                <a:r>
                  <a:rPr lang="en-US" sz="1000" baseline="0">
                    <a:solidFill>
                      <a:srgbClr val="000000"/>
                    </a:solidFill>
                  </a:rPr>
                  <a:t> (deg F)</a:t>
                </a:r>
                <a:endParaRPr lang="en-US" sz="1000">
                  <a:solidFill>
                    <a:srgbClr val="000000"/>
                  </a:solidFill>
                </a:endParaRPr>
              </a:p>
            </c:rich>
          </c:tx>
          <c:layout>
            <c:manualLayout>
              <c:xMode val="edge"/>
              <c:yMode val="edge"/>
              <c:x val="1.3661345497724065E-2"/>
              <c:y val="0.3495777492548150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rgbClr val="000000"/>
                  </a:solidFill>
                  <a:latin typeface="+mn-lt"/>
                  <a:ea typeface="+mn-ea"/>
                  <a:cs typeface="+mn-cs"/>
                </a:defRPr>
              </a:pPr>
              <a:endParaRPr lang="en-US"/>
            </a:p>
          </c:txPr>
        </c:title>
        <c:numFmt formatCode="General" sourceLinked="1"/>
        <c:majorTickMark val="in"/>
        <c:minorTickMark val="none"/>
        <c:tickLblPos val="nextTo"/>
        <c:spPr>
          <a:noFill/>
          <a:ln>
            <a:solidFill>
              <a:schemeClr val="tx1">
                <a:lumMod val="75000"/>
              </a:schemeClr>
            </a:solidFill>
          </a:ln>
          <a:effectLst/>
        </c:spPr>
        <c:txPr>
          <a:bodyPr rot="-60000000" spcFirstLastPara="1" vertOverflow="ellipsis" vert="horz" wrap="square" anchor="ctr" anchorCtr="1"/>
          <a:lstStyle/>
          <a:p>
            <a:pPr>
              <a:defRPr sz="1000" b="0" i="0" u="none" strike="noStrike" kern="1200" baseline="0">
                <a:solidFill>
                  <a:srgbClr val="000000"/>
                </a:solidFill>
                <a:latin typeface="+mn-lt"/>
                <a:ea typeface="+mn-ea"/>
                <a:cs typeface="+mn-cs"/>
              </a:defRPr>
            </a:pPr>
            <a:endParaRPr lang="en-US"/>
          </a:p>
        </c:txPr>
        <c:crossAx val="212742064"/>
        <c:crosses val="autoZero"/>
        <c:crossBetween val="between"/>
      </c:valAx>
      <c:spPr>
        <a:noFill/>
        <a:ln>
          <a:noFill/>
        </a:ln>
        <a:effectLst/>
      </c:spPr>
    </c:plotArea>
    <c:legend>
      <c:legendPos val="b"/>
      <c:layout>
        <c:manualLayout>
          <c:xMode val="edge"/>
          <c:yMode val="edge"/>
          <c:x val="0.87211588935998385"/>
          <c:y val="0.20718018943284264"/>
          <c:w val="0.12788411064001615"/>
          <c:h val="0.39665098771776774"/>
        </c:manualLayout>
      </c:layout>
      <c:overlay val="0"/>
      <c:spPr>
        <a:noFill/>
        <a:ln>
          <a:noFill/>
        </a:ln>
        <a:effectLst/>
      </c:spPr>
      <c:txPr>
        <a:bodyPr rot="0" spcFirstLastPara="1" vertOverflow="ellipsis" vert="horz" wrap="square" anchor="ctr" anchorCtr="1"/>
        <a:lstStyle/>
        <a:p>
          <a:pPr>
            <a:defRPr sz="1000" b="0" i="0" u="none" strike="noStrike" kern="1200" baseline="0">
              <a:solidFill>
                <a:srgbClr val="000000"/>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5D0ABCF-C196-437D-86E0-FC343435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1F4396C9</Template>
  <TotalTime>2033</TotalTime>
  <Pages>9</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Enright-Kato</dc:creator>
  <cp:keywords/>
  <dc:description/>
  <cp:lastModifiedBy>Cary Lynch</cp:lastModifiedBy>
  <cp:revision>15</cp:revision>
  <cp:lastPrinted>2018-09-18T13:39:00Z</cp:lastPrinted>
  <dcterms:created xsi:type="dcterms:W3CDTF">2018-08-27T18:06:00Z</dcterms:created>
  <dcterms:modified xsi:type="dcterms:W3CDTF">2018-10-05T20:01:00Z</dcterms:modified>
</cp:coreProperties>
</file>