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8AA59" w14:textId="77777777" w:rsidR="00936794" w:rsidRPr="00936794" w:rsidRDefault="00936794" w:rsidP="00936794">
      <w:pPr>
        <w:pStyle w:val="BasicParagraph"/>
        <w:rPr>
          <w:rFonts w:ascii="Tahoma" w:hAnsi="Tahoma" w:cs="Tahoma"/>
          <w:b/>
          <w:bCs/>
          <w:color w:val="1F4E79" w:themeColor="accent1" w:themeShade="80"/>
          <w:sz w:val="36"/>
          <w:szCs w:val="36"/>
        </w:rPr>
      </w:pPr>
      <w:r w:rsidRPr="00936794">
        <w:rPr>
          <w:rFonts w:ascii="Tahoma" w:hAnsi="Tahoma" w:cs="Tahoma"/>
          <w:b/>
          <w:bCs/>
          <w:color w:val="1F4E79" w:themeColor="accent1" w:themeShade="80"/>
          <w:sz w:val="36"/>
          <w:szCs w:val="36"/>
        </w:rPr>
        <w:t>Connecticut Greenhouse Gas Emissions Inventory</w:t>
      </w:r>
    </w:p>
    <w:p w14:paraId="147BE13E" w14:textId="039D49D3"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This summary provides an overview of the state’s greenhouse gas (GHG) emissions from 1990 to 201</w:t>
      </w:r>
      <w:r w:rsidR="003F2EB5">
        <w:rPr>
          <w:rFonts w:ascii="Corbel" w:hAnsi="Corbel" w:cs="Corbel"/>
          <w:color w:val="686868"/>
          <w:spacing w:val="5"/>
        </w:rPr>
        <w:t>6</w:t>
      </w:r>
      <w:r>
        <w:rPr>
          <w:rFonts w:ascii="Corbel" w:hAnsi="Corbel" w:cs="Corbel"/>
          <w:color w:val="686868"/>
          <w:spacing w:val="5"/>
        </w:rPr>
        <w:t>,</w:t>
      </w:r>
      <w:r w:rsidR="00245C68">
        <w:rPr>
          <w:rFonts w:ascii="Corbel" w:hAnsi="Corbel" w:cs="Corbel"/>
          <w:color w:val="686868"/>
          <w:spacing w:val="5"/>
        </w:rPr>
        <w:t xml:space="preserve"> </w:t>
      </w:r>
      <w:r>
        <w:rPr>
          <w:rFonts w:ascii="Corbel" w:hAnsi="Corbel" w:cs="Corbel"/>
          <w:color w:val="686868"/>
          <w:spacing w:val="5"/>
        </w:rPr>
        <w:t>the most recent year for which full data are available.</w:t>
      </w:r>
      <w:r>
        <w:rPr>
          <w:rStyle w:val="endnotemarker"/>
          <w:rFonts w:ascii="Corbel" w:hAnsi="Corbel" w:cs="Corbel"/>
          <w:color w:val="686868"/>
          <w:spacing w:val="5"/>
        </w:rPr>
        <w:footnoteReference w:id="1"/>
      </w:r>
      <w:r>
        <w:rPr>
          <w:rFonts w:ascii="Corbel" w:hAnsi="Corbel" w:cs="Corbel"/>
          <w:color w:val="686868"/>
          <w:spacing w:val="5"/>
        </w:rPr>
        <w:t xml:space="preserve"> The statewide GHG emission inventory is an important tool for tracking Connecticut’s progress toward the goals set by the Global Warming Solutions Act</w:t>
      </w:r>
      <w:r w:rsidR="00420B7D">
        <w:rPr>
          <w:rFonts w:ascii="Corbel" w:hAnsi="Corbel" w:cs="Corbel"/>
          <w:color w:val="686868"/>
          <w:spacing w:val="5"/>
        </w:rPr>
        <w:t xml:space="preserve"> and An Act Concerning Climate Change Planning and Resiliency</w:t>
      </w:r>
      <w:r>
        <w:rPr>
          <w:rFonts w:ascii="Corbel" w:hAnsi="Corbel" w:cs="Corbel"/>
          <w:color w:val="686868"/>
          <w:spacing w:val="5"/>
        </w:rPr>
        <w:t xml:space="preserve">. </w:t>
      </w:r>
      <w:r w:rsidR="00420B7D">
        <w:rPr>
          <w:rFonts w:ascii="Corbel" w:hAnsi="Corbel" w:cs="Corbel"/>
          <w:color w:val="686868"/>
          <w:spacing w:val="5"/>
        </w:rPr>
        <w:t>These statutory requirements</w:t>
      </w:r>
      <w:r>
        <w:rPr>
          <w:rFonts w:ascii="Corbel" w:hAnsi="Corbel" w:cs="Corbel"/>
          <w:color w:val="686868"/>
          <w:spacing w:val="5"/>
        </w:rPr>
        <w:t xml:space="preserve"> set targets of reducing GHG emissions 10 </w:t>
      </w:r>
      <w:r w:rsidR="005772E4">
        <w:rPr>
          <w:rFonts w:ascii="Corbel" w:hAnsi="Corbel" w:cs="Corbel"/>
          <w:color w:val="686868"/>
          <w:spacing w:val="5"/>
        </w:rPr>
        <w:t xml:space="preserve">and 45 </w:t>
      </w:r>
      <w:r>
        <w:rPr>
          <w:rFonts w:ascii="Corbel" w:hAnsi="Corbel" w:cs="Corbel"/>
          <w:color w:val="686868"/>
          <w:spacing w:val="5"/>
        </w:rPr>
        <w:t>percent below 1990 levels by 2020</w:t>
      </w:r>
      <w:r w:rsidR="005772E4">
        <w:rPr>
          <w:rFonts w:ascii="Corbel" w:hAnsi="Corbel" w:cs="Corbel"/>
          <w:color w:val="686868"/>
          <w:spacing w:val="5"/>
        </w:rPr>
        <w:t xml:space="preserve"> and 2030</w:t>
      </w:r>
      <w:r w:rsidR="00420B7D">
        <w:rPr>
          <w:rFonts w:ascii="Corbel" w:hAnsi="Corbel" w:cs="Corbel"/>
          <w:color w:val="686868"/>
          <w:spacing w:val="5"/>
        </w:rPr>
        <w:t>,</w:t>
      </w:r>
      <w:r>
        <w:rPr>
          <w:rFonts w:ascii="Corbel" w:hAnsi="Corbel" w:cs="Corbel"/>
          <w:color w:val="686868"/>
          <w:spacing w:val="5"/>
        </w:rPr>
        <w:t xml:space="preserve"> </w:t>
      </w:r>
      <w:r w:rsidR="00420B7D">
        <w:rPr>
          <w:rFonts w:ascii="Corbel" w:hAnsi="Corbel" w:cs="Corbel"/>
          <w:color w:val="686868"/>
          <w:spacing w:val="5"/>
        </w:rPr>
        <w:t xml:space="preserve">and </w:t>
      </w:r>
      <w:r>
        <w:rPr>
          <w:rFonts w:ascii="Corbel" w:hAnsi="Corbel" w:cs="Corbel"/>
          <w:color w:val="686868"/>
          <w:spacing w:val="5"/>
        </w:rPr>
        <w:t>80 percent below 2001 levels by 2050.</w:t>
      </w:r>
      <w:r w:rsidR="00420B7D">
        <w:rPr>
          <w:rStyle w:val="FootnoteReference"/>
          <w:rFonts w:ascii="Corbel" w:hAnsi="Corbel" w:cs="Corbel"/>
          <w:color w:val="686868"/>
          <w:spacing w:val="5"/>
        </w:rPr>
        <w:footnoteReference w:id="2"/>
      </w:r>
      <w:r w:rsidR="00420B7D" w:rsidRPr="00420B7D">
        <w:rPr>
          <w:rFonts w:ascii="Corbel" w:hAnsi="Corbel" w:cs="Corbel"/>
          <w:color w:val="686868"/>
          <w:spacing w:val="5"/>
          <w:vertAlign w:val="superscript"/>
        </w:rPr>
        <w:t>,</w:t>
      </w:r>
      <w:r w:rsidR="00420B7D">
        <w:rPr>
          <w:rStyle w:val="FootnoteReference"/>
          <w:rFonts w:ascii="Corbel" w:hAnsi="Corbel" w:cs="Corbel"/>
          <w:color w:val="686868"/>
          <w:spacing w:val="5"/>
        </w:rPr>
        <w:footnoteReference w:id="3"/>
      </w:r>
      <w:r>
        <w:rPr>
          <w:rFonts w:ascii="Corbel" w:hAnsi="Corbel" w:cs="Corbel"/>
          <w:color w:val="686868"/>
          <w:spacing w:val="5"/>
        </w:rPr>
        <w:t xml:space="preserve"> </w:t>
      </w:r>
    </w:p>
    <w:p w14:paraId="2F0DA0A3" w14:textId="18A9C83D" w:rsidR="00420B7D" w:rsidRDefault="00420B7D" w:rsidP="00936794">
      <w:pPr>
        <w:pStyle w:val="BasicParagraph"/>
        <w:spacing w:before="200" w:line="312" w:lineRule="auto"/>
        <w:rPr>
          <w:rFonts w:ascii="Tahoma" w:hAnsi="Tahoma" w:cs="Tahoma"/>
          <w:b/>
          <w:bCs/>
          <w:color w:val="686868"/>
        </w:rPr>
      </w:pPr>
      <w:r>
        <w:rPr>
          <w:rFonts w:ascii="Tahoma" w:hAnsi="Tahoma" w:cs="Tahoma"/>
          <w:b/>
          <w:bCs/>
          <w:color w:val="686868"/>
        </w:rPr>
        <w:t>Governor’s Council on Climate Change Mid-term Target</w:t>
      </w:r>
    </w:p>
    <w:p w14:paraId="5FCB6335" w14:textId="399351F8" w:rsidR="00420B7D" w:rsidRDefault="003440FD" w:rsidP="00936794">
      <w:pPr>
        <w:pStyle w:val="BasicParagraph"/>
        <w:spacing w:before="200" w:line="312" w:lineRule="auto"/>
        <w:rPr>
          <w:rFonts w:ascii="Corbel" w:hAnsi="Corbel" w:cs="Tahoma"/>
          <w:bCs/>
          <w:color w:val="686868"/>
        </w:rPr>
      </w:pPr>
      <w:r w:rsidRPr="003440FD">
        <w:rPr>
          <w:rFonts w:ascii="Corbel" w:hAnsi="Corbel" w:cs="Tahoma"/>
          <w:bCs/>
          <w:color w:val="686868"/>
        </w:rPr>
        <w:t>On April 22, 2015, Governor Dannel P. Malloy issued Executive Order No. 46, creating the Governor’s Council on Climate Change (GC3). Delineated in the executive order, the GC3 is comprised of 15 individuals from state agencies, non-profit organizations, and businesses and was tasked with “establish[ing] interim goals that, if met, will ensure that the State will achieve the 2050 target</w:t>
      </w:r>
      <w:r>
        <w:rPr>
          <w:rFonts w:ascii="Corbel" w:hAnsi="Corbel" w:cs="Tahoma"/>
          <w:bCs/>
          <w:color w:val="686868"/>
        </w:rPr>
        <w:t>.”</w:t>
      </w:r>
    </w:p>
    <w:p w14:paraId="169F02A7" w14:textId="77777777" w:rsidR="003440FD" w:rsidRPr="003440FD" w:rsidRDefault="003440FD" w:rsidP="003440FD">
      <w:pPr>
        <w:pStyle w:val="BasicParagraph"/>
        <w:spacing w:before="200" w:line="312" w:lineRule="auto"/>
        <w:rPr>
          <w:rFonts w:ascii="Corbel" w:hAnsi="Corbel" w:cs="Tahoma"/>
          <w:bCs/>
          <w:color w:val="686868"/>
        </w:rPr>
      </w:pPr>
      <w:r w:rsidRPr="003440FD">
        <w:rPr>
          <w:rFonts w:ascii="Corbel" w:hAnsi="Corbel" w:cs="Tahoma"/>
          <w:bCs/>
          <w:color w:val="686868"/>
        </w:rPr>
        <w:t>After a thorough review of a variety of mitigation scenarios that drive down GHG emissions in the electric, building, and transportation sectors, the GC3, through consensus, recommended an economy-wide greenhouse gas emission reduction target of 45 percent below 2001 levels by 2030. As one of the most ambitious mid-term reduction targets in the nation, the selected target ensures the State is on a linear downward trajectory from today’s GHG emissions to the 80 percent reduction required by the Global Warming Solutions Act.</w:t>
      </w:r>
    </w:p>
    <w:p w14:paraId="005F50D8" w14:textId="38872C2A" w:rsidR="003440FD" w:rsidRPr="003440FD" w:rsidRDefault="003440FD" w:rsidP="003440FD">
      <w:pPr>
        <w:pStyle w:val="BasicParagraph"/>
        <w:spacing w:before="200" w:line="312" w:lineRule="auto"/>
        <w:rPr>
          <w:rFonts w:ascii="Corbel" w:hAnsi="Corbel" w:cs="Tahoma"/>
          <w:bCs/>
          <w:color w:val="686868"/>
        </w:rPr>
      </w:pPr>
      <w:r w:rsidRPr="003440FD">
        <w:rPr>
          <w:rFonts w:ascii="Corbel" w:hAnsi="Corbel" w:cs="Tahoma"/>
          <w:bCs/>
          <w:color w:val="686868"/>
        </w:rPr>
        <w:t>The GC3’s mid-term reduction target recommendation was adopted by the Connecticut General Assembly when it passed An Act Concerning Climate Change Planning and Resiliency (Public Act 18-82). The consensus 2030 target was signed into law by Governor Malloy on June 20, 2018.</w:t>
      </w:r>
    </w:p>
    <w:p w14:paraId="6F7CB0E2" w14:textId="38D85F43" w:rsidR="00936794" w:rsidRDefault="00936794" w:rsidP="00936794">
      <w:pPr>
        <w:pStyle w:val="BasicParagraph"/>
        <w:spacing w:before="200" w:line="312" w:lineRule="auto"/>
        <w:rPr>
          <w:rFonts w:ascii="Corbel" w:hAnsi="Corbel" w:cs="Corbel"/>
          <w:color w:val="686868"/>
          <w:spacing w:val="5"/>
        </w:rPr>
      </w:pPr>
      <w:r>
        <w:rPr>
          <w:rFonts w:ascii="Tahoma" w:hAnsi="Tahoma" w:cs="Tahoma"/>
          <w:b/>
          <w:bCs/>
          <w:color w:val="686868"/>
        </w:rPr>
        <w:lastRenderedPageBreak/>
        <w:t>Inventory Methodology</w:t>
      </w:r>
    </w:p>
    <w:p w14:paraId="1D9AB222"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A federal standard for economy-wide GHG accounting does not currently exist. In the absence of a federal standard, Connecticut DEEP is committed to continuous improvement of its accounting methodology. This includes identifying improvements in both the quality of data and methods utilized to calculate annual GHG emissions. </w:t>
      </w:r>
    </w:p>
    <w:p w14:paraId="52B088B5" w14:textId="68A5026E"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Like several states across the country that regularly perform economy-wide GHG inventories, Connecticut relies heavily on the U.S. Environmental Protection Agency’s State Inventory Tool (SIT). The tool calculates sector-by-sector GHG emissions based on numerous state-level data sets (e.g., number of gallons of fuel oil sold in CT), including energy-related data provided by the Energy Information Administration. EPA recommends that states employ their own data when these are likely to be more reliable than the tool’s default figures. CT’s inventory uses SIT default data, with three exceptions. First, beginning with the 2013 inventory, CT has drawn on solid-waste data collected by the Department of Energy and Environmental Protection’s municipal waste program. Second, because SIT data on land use, land use change, and forestry appear unreliable, they have not been included in the state’s recent inventories. The state aims to develop an alternative means to estimate GHG impacts of land use and forestry for use in preparing future inventories. Third, this analysis continues to present both a consumption and generation based accounting app</w:t>
      </w:r>
      <w:r w:rsidR="00F13DB6">
        <w:rPr>
          <w:rFonts w:ascii="Corbel" w:hAnsi="Corbel" w:cs="Corbel"/>
          <w:color w:val="686868"/>
          <w:spacing w:val="5"/>
        </w:rPr>
        <w:t>roach for the electricity sector</w:t>
      </w:r>
      <w:bookmarkStart w:id="0" w:name="_GoBack"/>
      <w:bookmarkEnd w:id="0"/>
      <w:r>
        <w:rPr>
          <w:rFonts w:ascii="Corbel" w:hAnsi="Corbel" w:cs="Corbel"/>
          <w:color w:val="686868"/>
          <w:spacing w:val="5"/>
        </w:rPr>
        <w:t xml:space="preserve">. </w:t>
      </w:r>
    </w:p>
    <w:p w14:paraId="59797719" w14:textId="1D1EDB08"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Based on best practices among states reporting state-wide GHG emissions, and reflecting the regional nature of the electric grid, the consumption-based accounting for the electric power sector was first applied in the 2013 inventory analysis. In prior GHG inventories, emissions from the electric power sector had been based entirely on direct emissions from generation of electricity by power plants operating within the state. A consumption-based approach calculates emissions based on Connecticut’s share of electricity consumption in New England, using the emissions profile of the regional electric grid’s generation fuel mix.</w:t>
      </w:r>
      <w:r>
        <w:rPr>
          <w:rStyle w:val="endnotemarker"/>
          <w:rFonts w:ascii="Corbel" w:hAnsi="Corbel" w:cs="Corbel"/>
          <w:color w:val="686868"/>
          <w:spacing w:val="5"/>
        </w:rPr>
        <w:footnoteReference w:id="4"/>
      </w:r>
      <w:r>
        <w:rPr>
          <w:rFonts w:ascii="Corbel" w:hAnsi="Corbel" w:cs="Corbel"/>
          <w:color w:val="686868"/>
          <w:spacing w:val="5"/>
        </w:rPr>
        <w:t xml:space="preserve"> </w:t>
      </w:r>
    </w:p>
    <w:p w14:paraId="686E0665" w14:textId="77777777" w:rsidR="00FA1424" w:rsidRDefault="00FA1424" w:rsidP="00FA1424">
      <w:pPr>
        <w:spacing w:before="120" w:line="312" w:lineRule="auto"/>
        <w:jc w:val="both"/>
        <w:rPr>
          <w:rFonts w:ascii="Corbel" w:hAnsi="Corbel"/>
          <w:color w:val="767171"/>
          <w:sz w:val="24"/>
          <w:szCs w:val="24"/>
        </w:rPr>
      </w:pPr>
      <w:r>
        <w:rPr>
          <w:rFonts w:ascii="Corbel" w:hAnsi="Corbel"/>
          <w:color w:val="767171"/>
          <w:sz w:val="24"/>
          <w:szCs w:val="24"/>
        </w:rPr>
        <w:t xml:space="preserve">Specifically, the consumption-based approach for the electricity sector uses the annual electricity load data from the Independent System Operator, New England (ISO-NE).  </w:t>
      </w:r>
      <w:r w:rsidRPr="00FA1424">
        <w:rPr>
          <w:rFonts w:ascii="Corbel" w:hAnsi="Corbel"/>
          <w:color w:val="767171"/>
          <w:sz w:val="24"/>
          <w:szCs w:val="24"/>
        </w:rPr>
        <w:t xml:space="preserve">We then account for emissions from Renewable Energy Certificates (RECs) purchased/sold by Connecticut retail electricity sellers, and megawatt hours of losses (and associated emissions) </w:t>
      </w:r>
      <w:r w:rsidRPr="00FA1424">
        <w:rPr>
          <w:rFonts w:ascii="Corbel" w:hAnsi="Corbel"/>
          <w:color w:val="767171"/>
          <w:sz w:val="24"/>
          <w:szCs w:val="24"/>
        </w:rPr>
        <w:lastRenderedPageBreak/>
        <w:t>due to pumped hydro.</w:t>
      </w:r>
      <w:r>
        <w:rPr>
          <w:rFonts w:ascii="Corbel" w:hAnsi="Corbel"/>
          <w:color w:val="767171"/>
          <w:sz w:val="24"/>
          <w:szCs w:val="24"/>
        </w:rPr>
        <w:t>  And finally, the total energy consumed is multiplied by the regional New England emission factor to obtain emissions associated with the State’s energy consumption.  The New England emission factor takes into account the regional fuel mix as well as the associated GHG emissions from each power source for any particular year.</w:t>
      </w:r>
    </w:p>
    <w:p w14:paraId="5F47787C" w14:textId="063762D3" w:rsidR="00AF27EE" w:rsidRDefault="00AF27EE" w:rsidP="00AF27EE">
      <w:pPr>
        <w:pStyle w:val="BasicParagraph"/>
        <w:spacing w:before="200" w:line="312" w:lineRule="auto"/>
        <w:jc w:val="both"/>
        <w:rPr>
          <w:rFonts w:ascii="Corbel" w:hAnsi="Corbel" w:cs="Corbel"/>
          <w:color w:val="686868"/>
          <w:spacing w:val="5"/>
        </w:rPr>
      </w:pPr>
      <w:r>
        <w:rPr>
          <w:rFonts w:ascii="Tahoma" w:hAnsi="Tahoma" w:cs="Tahoma"/>
          <w:b/>
          <w:bCs/>
          <w:color w:val="686868"/>
        </w:rPr>
        <w:t>201</w:t>
      </w:r>
      <w:r w:rsidR="003F2EB5">
        <w:rPr>
          <w:rFonts w:ascii="Tahoma" w:hAnsi="Tahoma" w:cs="Tahoma"/>
          <w:b/>
          <w:bCs/>
          <w:color w:val="686868"/>
        </w:rPr>
        <w:t>6</w:t>
      </w:r>
      <w:r>
        <w:rPr>
          <w:rFonts w:ascii="Tahoma" w:hAnsi="Tahoma" w:cs="Tahoma"/>
          <w:b/>
          <w:bCs/>
          <w:color w:val="686868"/>
        </w:rPr>
        <w:t xml:space="preserve"> GHG Emissions</w:t>
      </w:r>
    </w:p>
    <w:p w14:paraId="53E622AF" w14:textId="7E36C8E3" w:rsidR="00AF27EE" w:rsidRDefault="00AF27EE" w:rsidP="00AF27EE">
      <w:pPr>
        <w:pStyle w:val="BasicParagraph"/>
        <w:spacing w:before="120" w:line="312" w:lineRule="auto"/>
        <w:jc w:val="both"/>
        <w:rPr>
          <w:rFonts w:ascii="Corbel" w:hAnsi="Corbel" w:cs="Corbel"/>
          <w:color w:val="686868"/>
          <w:spacing w:val="5"/>
        </w:rPr>
      </w:pPr>
      <w:r>
        <w:rPr>
          <w:rFonts w:ascii="Corbel" w:hAnsi="Corbel" w:cs="Corbel"/>
          <w:color w:val="686868"/>
          <w:spacing w:val="5"/>
        </w:rPr>
        <w:t>Using the consumption-based accounting approach for electricity, Connecticut’s economy-wide GHG emissions in 201</w:t>
      </w:r>
      <w:r w:rsidR="003F2EB5">
        <w:rPr>
          <w:rFonts w:ascii="Corbel" w:hAnsi="Corbel" w:cs="Corbel"/>
          <w:color w:val="686868"/>
          <w:spacing w:val="5"/>
        </w:rPr>
        <w:t>6</w:t>
      </w:r>
      <w:r>
        <w:rPr>
          <w:rFonts w:ascii="Corbel" w:hAnsi="Corbel" w:cs="Corbel"/>
          <w:color w:val="686868"/>
          <w:spacing w:val="5"/>
        </w:rPr>
        <w:t xml:space="preserve"> were 4</w:t>
      </w:r>
      <w:r w:rsidR="003F2EB5">
        <w:rPr>
          <w:rFonts w:ascii="Corbel" w:hAnsi="Corbel" w:cs="Corbel"/>
          <w:color w:val="686868"/>
          <w:spacing w:val="5"/>
        </w:rPr>
        <w:t>1</w:t>
      </w:r>
      <w:r w:rsidR="000A772B">
        <w:rPr>
          <w:rFonts w:ascii="Corbel" w:hAnsi="Corbel" w:cs="Corbel"/>
          <w:color w:val="686868"/>
          <w:spacing w:val="5"/>
        </w:rPr>
        <w:t>.</w:t>
      </w:r>
      <w:r w:rsidR="003F2EB5">
        <w:rPr>
          <w:rFonts w:ascii="Corbel" w:hAnsi="Corbel" w:cs="Corbel"/>
          <w:color w:val="686868"/>
          <w:spacing w:val="5"/>
        </w:rPr>
        <w:t>1</w:t>
      </w:r>
      <w:r>
        <w:rPr>
          <w:rFonts w:ascii="Corbel" w:hAnsi="Corbel" w:cs="Corbel"/>
          <w:color w:val="686868"/>
          <w:spacing w:val="5"/>
        </w:rPr>
        <w:t xml:space="preserve"> million metric tons (MMT) of carbon dioxide equivalent (CO2e), </w:t>
      </w:r>
      <w:r w:rsidR="003F2EB5">
        <w:rPr>
          <w:rFonts w:ascii="Corbel" w:hAnsi="Corbel" w:cs="Corbel"/>
          <w:color w:val="686868"/>
          <w:spacing w:val="5"/>
        </w:rPr>
        <w:t>9</w:t>
      </w:r>
      <w:r w:rsidR="00245C68">
        <w:rPr>
          <w:rFonts w:ascii="Corbel" w:hAnsi="Corbel" w:cs="Corbel"/>
          <w:color w:val="686868"/>
          <w:spacing w:val="5"/>
        </w:rPr>
        <w:t xml:space="preserve"> percent </w:t>
      </w:r>
      <w:r w:rsidR="003F2EB5">
        <w:rPr>
          <w:rFonts w:ascii="Corbel" w:hAnsi="Corbel" w:cs="Corbel"/>
          <w:color w:val="686868"/>
          <w:spacing w:val="5"/>
        </w:rPr>
        <w:t>below</w:t>
      </w:r>
      <w:r w:rsidR="00245C68">
        <w:rPr>
          <w:rFonts w:ascii="Corbel" w:hAnsi="Corbel" w:cs="Corbel"/>
          <w:color w:val="686868"/>
          <w:spacing w:val="5"/>
        </w:rPr>
        <w:t xml:space="preserve"> 1990 levels and </w:t>
      </w:r>
      <w:r w:rsidR="003F2EB5">
        <w:rPr>
          <w:rFonts w:ascii="Corbel" w:hAnsi="Corbel" w:cs="Corbel"/>
          <w:color w:val="686868"/>
          <w:spacing w:val="5"/>
        </w:rPr>
        <w:t>16</w:t>
      </w:r>
      <w:r>
        <w:rPr>
          <w:rFonts w:ascii="Corbel" w:hAnsi="Corbel" w:cs="Corbel"/>
          <w:color w:val="686868"/>
          <w:spacing w:val="5"/>
        </w:rPr>
        <w:t xml:space="preserve"> percent below 2001 levels.</w:t>
      </w:r>
      <w:r>
        <w:rPr>
          <w:rStyle w:val="endnotemarker"/>
          <w:rFonts w:ascii="Corbel" w:hAnsi="Corbel" w:cs="Corbel"/>
          <w:color w:val="686868"/>
          <w:spacing w:val="5"/>
        </w:rPr>
        <w:footnoteReference w:id="5"/>
      </w:r>
      <w:r>
        <w:rPr>
          <w:rFonts w:ascii="Corbel" w:hAnsi="Corbel" w:cs="Corbel"/>
          <w:color w:val="686868"/>
          <w:spacing w:val="5"/>
        </w:rPr>
        <w:t xml:space="preserve"> In comparison, emissions using the generation-based accounting approach were 43</w:t>
      </w:r>
      <w:r w:rsidR="000A772B">
        <w:rPr>
          <w:rFonts w:ascii="Corbel" w:hAnsi="Corbel" w:cs="Corbel"/>
          <w:color w:val="686868"/>
          <w:spacing w:val="5"/>
        </w:rPr>
        <w:t>.4</w:t>
      </w:r>
      <w:r>
        <w:rPr>
          <w:rFonts w:ascii="Corbel" w:hAnsi="Corbel" w:cs="Corbel"/>
          <w:color w:val="686868"/>
          <w:spacing w:val="5"/>
        </w:rPr>
        <w:t xml:space="preserve"> MMT CO2e, </w:t>
      </w:r>
      <w:r w:rsidR="00245C68">
        <w:rPr>
          <w:rFonts w:ascii="Corbel" w:hAnsi="Corbel" w:cs="Corbel"/>
          <w:color w:val="686868"/>
          <w:spacing w:val="5"/>
        </w:rPr>
        <w:t xml:space="preserve">2.8 percent below 1990 levels and </w:t>
      </w:r>
      <w:r w:rsidR="00B91CE4">
        <w:rPr>
          <w:rFonts w:ascii="Corbel" w:hAnsi="Corbel" w:cs="Corbel"/>
          <w:color w:val="686868"/>
          <w:spacing w:val="5"/>
        </w:rPr>
        <w:t>11.6</w:t>
      </w:r>
      <w:r>
        <w:rPr>
          <w:rFonts w:ascii="Corbel" w:hAnsi="Corbel" w:cs="Corbel"/>
          <w:color w:val="686868"/>
          <w:spacing w:val="5"/>
        </w:rPr>
        <w:t xml:space="preserve"> percent below 2001 levels</w:t>
      </w:r>
      <w:r w:rsidR="008670F4">
        <w:rPr>
          <w:rFonts w:ascii="Corbel" w:hAnsi="Corbel" w:cs="Corbel"/>
          <w:color w:val="686868"/>
          <w:spacing w:val="5"/>
        </w:rPr>
        <w:t xml:space="preserve"> (Figure 1)</w:t>
      </w:r>
      <w:r>
        <w:rPr>
          <w:rFonts w:ascii="Corbel" w:hAnsi="Corbel" w:cs="Corbel"/>
          <w:color w:val="686868"/>
          <w:spacing w:val="5"/>
        </w:rPr>
        <w:t xml:space="preserve">. </w:t>
      </w:r>
    </w:p>
    <w:p w14:paraId="422FC902" w14:textId="6F80EB14" w:rsidR="00D430F4" w:rsidRPr="00F04FAB" w:rsidRDefault="00D430F4" w:rsidP="00773FF7">
      <w:pPr>
        <w:spacing w:before="120" w:after="0" w:line="312" w:lineRule="auto"/>
        <w:jc w:val="both"/>
        <w:rPr>
          <w:rFonts w:ascii="Corbel" w:hAnsi="Corbel" w:cs="Arial"/>
          <w:color w:val="595959" w:themeColor="text1" w:themeTint="A6"/>
          <w:sz w:val="24"/>
          <w:szCs w:val="24"/>
          <w:lang w:val="en"/>
        </w:rPr>
      </w:pPr>
      <w:r w:rsidRPr="00F04FAB">
        <w:rPr>
          <w:rFonts w:ascii="Corbel" w:hAnsi="Corbel" w:cs="Corbel"/>
          <w:color w:val="686868"/>
          <w:spacing w:val="5"/>
          <w:sz w:val="24"/>
          <w:szCs w:val="24"/>
        </w:rPr>
        <w:t>When compared to 201</w:t>
      </w:r>
      <w:r w:rsidR="00BF022A">
        <w:rPr>
          <w:rFonts w:ascii="Corbel" w:hAnsi="Corbel" w:cs="Corbel"/>
          <w:color w:val="686868"/>
          <w:spacing w:val="5"/>
          <w:sz w:val="24"/>
          <w:szCs w:val="24"/>
        </w:rPr>
        <w:t>5</w:t>
      </w:r>
      <w:r w:rsidRPr="00F04FAB">
        <w:rPr>
          <w:rFonts w:ascii="Corbel" w:hAnsi="Corbel" w:cs="Corbel"/>
          <w:color w:val="686868"/>
          <w:spacing w:val="5"/>
          <w:sz w:val="24"/>
          <w:szCs w:val="24"/>
        </w:rPr>
        <w:t xml:space="preserve">, emissions </w:t>
      </w:r>
      <w:r w:rsidR="00BF022A">
        <w:rPr>
          <w:rFonts w:ascii="Corbel" w:hAnsi="Corbel" w:cs="Corbel"/>
          <w:color w:val="686868"/>
          <w:spacing w:val="5"/>
          <w:sz w:val="24"/>
          <w:szCs w:val="24"/>
        </w:rPr>
        <w:t>dropped</w:t>
      </w:r>
      <w:r w:rsidRPr="00F04FAB">
        <w:rPr>
          <w:rFonts w:ascii="Corbel" w:hAnsi="Corbel" w:cs="Corbel"/>
          <w:color w:val="686868"/>
          <w:spacing w:val="5"/>
          <w:sz w:val="24"/>
          <w:szCs w:val="24"/>
        </w:rPr>
        <w:t xml:space="preserve"> by </w:t>
      </w:r>
      <w:r w:rsidR="00BF022A">
        <w:rPr>
          <w:rFonts w:ascii="Corbel" w:hAnsi="Corbel" w:cs="Corbel"/>
          <w:color w:val="686868"/>
          <w:spacing w:val="5"/>
          <w:sz w:val="24"/>
          <w:szCs w:val="24"/>
        </w:rPr>
        <w:t>2</w:t>
      </w:r>
      <w:r w:rsidRPr="00F04FAB">
        <w:rPr>
          <w:rFonts w:ascii="Corbel" w:hAnsi="Corbel" w:cs="Corbel"/>
          <w:color w:val="686868"/>
          <w:spacing w:val="5"/>
          <w:sz w:val="24"/>
          <w:szCs w:val="24"/>
        </w:rPr>
        <w:t>.</w:t>
      </w:r>
      <w:r w:rsidR="00BF022A">
        <w:rPr>
          <w:rFonts w:ascii="Corbel" w:hAnsi="Corbel" w:cs="Corbel"/>
          <w:color w:val="686868"/>
          <w:spacing w:val="5"/>
          <w:sz w:val="24"/>
          <w:szCs w:val="24"/>
        </w:rPr>
        <w:t>7</w:t>
      </w:r>
      <w:r w:rsidRPr="00F04FAB">
        <w:rPr>
          <w:rFonts w:ascii="Corbel" w:hAnsi="Corbel" w:cs="Corbel"/>
          <w:color w:val="686868"/>
          <w:spacing w:val="5"/>
          <w:sz w:val="24"/>
          <w:szCs w:val="24"/>
        </w:rPr>
        <w:t xml:space="preserve"> MMT</w:t>
      </w:r>
      <w:r w:rsidR="00BF022A">
        <w:rPr>
          <w:rFonts w:ascii="Corbel" w:hAnsi="Corbel" w:cs="Corbel"/>
          <w:color w:val="686868"/>
          <w:spacing w:val="5"/>
          <w:sz w:val="24"/>
          <w:szCs w:val="24"/>
        </w:rPr>
        <w:t>, or 6 percent</w:t>
      </w:r>
      <w:r w:rsidRPr="00F04FAB">
        <w:rPr>
          <w:rFonts w:ascii="Corbel" w:hAnsi="Corbel" w:cs="Corbel"/>
          <w:color w:val="686868"/>
          <w:spacing w:val="5"/>
          <w:sz w:val="24"/>
          <w:szCs w:val="24"/>
        </w:rPr>
        <w:t xml:space="preserve">. This </w:t>
      </w:r>
      <w:r w:rsidR="00BF022A">
        <w:rPr>
          <w:rFonts w:ascii="Corbel" w:hAnsi="Corbel" w:cs="Corbel"/>
          <w:color w:val="686868"/>
          <w:spacing w:val="5"/>
          <w:sz w:val="24"/>
          <w:szCs w:val="24"/>
        </w:rPr>
        <w:t>reduction</w:t>
      </w:r>
      <w:r w:rsidRPr="00F04FAB">
        <w:rPr>
          <w:rFonts w:ascii="Corbel" w:hAnsi="Corbel" w:cs="Corbel"/>
          <w:color w:val="686868"/>
          <w:spacing w:val="5"/>
          <w:sz w:val="24"/>
          <w:szCs w:val="24"/>
        </w:rPr>
        <w:t xml:space="preserve"> in GHG emissions is </w:t>
      </w:r>
      <w:r w:rsidR="00BF022A">
        <w:rPr>
          <w:rFonts w:ascii="Corbel" w:hAnsi="Corbel" w:cs="Corbel"/>
          <w:color w:val="686868"/>
          <w:spacing w:val="5"/>
          <w:sz w:val="24"/>
          <w:szCs w:val="24"/>
        </w:rPr>
        <w:t>primarily due to mild winter temperatures in 2016 and a reduction in the use of fuel oil for heating</w:t>
      </w:r>
      <w:r w:rsidRPr="00F04FAB">
        <w:rPr>
          <w:rFonts w:ascii="Corbel" w:hAnsi="Corbel" w:cs="Corbel"/>
          <w:color w:val="686868"/>
          <w:spacing w:val="5"/>
          <w:sz w:val="24"/>
          <w:szCs w:val="24"/>
        </w:rPr>
        <w:t xml:space="preserve">. </w:t>
      </w:r>
      <w:r w:rsidR="00BF022A">
        <w:rPr>
          <w:rFonts w:ascii="Corbel" w:hAnsi="Corbel" w:cs="Corbel"/>
          <w:color w:val="686868"/>
          <w:spacing w:val="5"/>
          <w:sz w:val="24"/>
          <w:szCs w:val="24"/>
        </w:rPr>
        <w:t>In 2015, the months of January-March</w:t>
      </w:r>
      <w:r w:rsidRPr="00F04FAB">
        <w:rPr>
          <w:rFonts w:ascii="Corbel" w:hAnsi="Corbel" w:cs="Corbel"/>
          <w:color w:val="686868"/>
          <w:spacing w:val="5"/>
          <w:sz w:val="24"/>
          <w:szCs w:val="24"/>
        </w:rPr>
        <w:t xml:space="preserve"> were the coldest on record </w:t>
      </w:r>
      <w:r w:rsidR="00BF022A">
        <w:rPr>
          <w:rFonts w:ascii="Corbel" w:hAnsi="Corbel" w:cs="Corbel"/>
          <w:color w:val="686868"/>
          <w:spacing w:val="5"/>
          <w:sz w:val="24"/>
          <w:szCs w:val="24"/>
        </w:rPr>
        <w:t xml:space="preserve">for New England states </w:t>
      </w:r>
      <w:r w:rsidRPr="00F04FAB">
        <w:rPr>
          <w:rFonts w:ascii="Corbel" w:hAnsi="Corbel" w:cs="Corbel"/>
          <w:color w:val="686868"/>
          <w:spacing w:val="5"/>
          <w:sz w:val="24"/>
          <w:szCs w:val="24"/>
        </w:rPr>
        <w:t xml:space="preserve">leading to increased energy consumption for heating and natural gas constraints for electricity generation. This susceptibility to weather extremes illustrates the challenges we face in the coming years as we seek to implement actions to drive down emissions. </w:t>
      </w:r>
    </w:p>
    <w:p w14:paraId="498288BE" w14:textId="3235CC9E" w:rsidR="004B2678" w:rsidRDefault="00BF022A" w:rsidP="00AF27EE">
      <w:pPr>
        <w:pStyle w:val="BasicParagraph"/>
        <w:spacing w:before="120" w:line="312" w:lineRule="auto"/>
        <w:jc w:val="both"/>
        <w:rPr>
          <w:rFonts w:ascii="Corbel" w:hAnsi="Corbel" w:cs="Corbel"/>
          <w:color w:val="686868"/>
          <w:spacing w:val="5"/>
        </w:rPr>
      </w:pPr>
      <w:r>
        <w:rPr>
          <w:noProof/>
        </w:rPr>
        <w:drawing>
          <wp:inline distT="0" distB="0" distL="0" distR="0" wp14:anchorId="54F79573" wp14:editId="1FF1F54A">
            <wp:extent cx="5943600" cy="3027680"/>
            <wp:effectExtent l="0" t="0" r="0" b="1270"/>
            <wp:docPr id="1" name="Chart 1" title="CT GHG emissions (total and 3 largest sectors), 1990-20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ABC472" w14:textId="37363C9D" w:rsidR="00A031BB" w:rsidRPr="00F04FAB" w:rsidRDefault="00A031BB" w:rsidP="00A031BB">
      <w:pPr>
        <w:rPr>
          <w:rFonts w:ascii="Corbel" w:hAnsi="Corbel"/>
          <w:color w:val="767171" w:themeColor="background2" w:themeShade="80"/>
          <w:sz w:val="18"/>
          <w:szCs w:val="18"/>
        </w:rPr>
      </w:pPr>
      <w:r w:rsidRPr="00F04FAB">
        <w:rPr>
          <w:rFonts w:ascii="Corbel" w:hAnsi="Corbel"/>
          <w:b/>
          <w:color w:val="767171" w:themeColor="background2" w:themeShade="80"/>
          <w:sz w:val="18"/>
          <w:szCs w:val="18"/>
        </w:rPr>
        <w:t>Figure 1.</w:t>
      </w:r>
      <w:r w:rsidRPr="00F04FAB">
        <w:rPr>
          <w:rFonts w:ascii="Corbel" w:hAnsi="Corbel"/>
          <w:color w:val="767171" w:themeColor="background2" w:themeShade="80"/>
          <w:sz w:val="18"/>
          <w:szCs w:val="18"/>
        </w:rPr>
        <w:t xml:space="preserve">  </w:t>
      </w:r>
      <w:r w:rsidR="00782DC2" w:rsidRPr="00F04FAB">
        <w:rPr>
          <w:rFonts w:ascii="Corbel" w:hAnsi="Corbel"/>
          <w:color w:val="767171" w:themeColor="background2" w:themeShade="80"/>
          <w:sz w:val="18"/>
          <w:szCs w:val="18"/>
        </w:rPr>
        <w:t xml:space="preserve">Total annual </w:t>
      </w:r>
      <w:r w:rsidRPr="00F04FAB">
        <w:rPr>
          <w:rFonts w:ascii="Corbel" w:hAnsi="Corbel"/>
          <w:color w:val="767171" w:themeColor="background2" w:themeShade="80"/>
          <w:sz w:val="18"/>
          <w:szCs w:val="18"/>
        </w:rPr>
        <w:t xml:space="preserve">Connecticut </w:t>
      </w:r>
      <w:r w:rsidR="00782DC2" w:rsidRPr="00F04FAB">
        <w:rPr>
          <w:rFonts w:ascii="Corbel" w:hAnsi="Corbel"/>
          <w:color w:val="767171" w:themeColor="background2" w:themeShade="80"/>
          <w:sz w:val="18"/>
          <w:szCs w:val="18"/>
        </w:rPr>
        <w:t>g</w:t>
      </w:r>
      <w:r w:rsidRPr="00F04FAB">
        <w:rPr>
          <w:rFonts w:ascii="Corbel" w:hAnsi="Corbel"/>
          <w:color w:val="767171" w:themeColor="background2" w:themeShade="80"/>
          <w:sz w:val="18"/>
          <w:szCs w:val="18"/>
        </w:rPr>
        <w:t xml:space="preserve">reenhouse </w:t>
      </w:r>
      <w:r w:rsidR="00782DC2" w:rsidRPr="00F04FAB">
        <w:rPr>
          <w:rFonts w:ascii="Corbel" w:hAnsi="Corbel"/>
          <w:color w:val="767171" w:themeColor="background2" w:themeShade="80"/>
          <w:sz w:val="18"/>
          <w:szCs w:val="18"/>
        </w:rPr>
        <w:t>g</w:t>
      </w:r>
      <w:r w:rsidRPr="00F04FAB">
        <w:rPr>
          <w:rFonts w:ascii="Corbel" w:hAnsi="Corbel"/>
          <w:color w:val="767171" w:themeColor="background2" w:themeShade="80"/>
          <w:sz w:val="18"/>
          <w:szCs w:val="18"/>
        </w:rPr>
        <w:t xml:space="preserve">as </w:t>
      </w:r>
      <w:r w:rsidR="00782DC2" w:rsidRPr="00F04FAB">
        <w:rPr>
          <w:rFonts w:ascii="Corbel" w:hAnsi="Corbel"/>
          <w:color w:val="767171" w:themeColor="background2" w:themeShade="80"/>
          <w:sz w:val="18"/>
          <w:szCs w:val="18"/>
        </w:rPr>
        <w:t>e</w:t>
      </w:r>
      <w:r w:rsidRPr="00F04FAB">
        <w:rPr>
          <w:rFonts w:ascii="Corbel" w:hAnsi="Corbel"/>
          <w:color w:val="767171" w:themeColor="background2" w:themeShade="80"/>
          <w:sz w:val="18"/>
          <w:szCs w:val="18"/>
        </w:rPr>
        <w:t xml:space="preserve">missions </w:t>
      </w:r>
      <w:r w:rsidR="00782DC2" w:rsidRPr="00F04FAB">
        <w:rPr>
          <w:rFonts w:ascii="Corbel" w:hAnsi="Corbel"/>
          <w:color w:val="767171" w:themeColor="background2" w:themeShade="80"/>
          <w:sz w:val="18"/>
          <w:szCs w:val="18"/>
        </w:rPr>
        <w:t xml:space="preserve">from </w:t>
      </w:r>
      <w:r w:rsidRPr="00F04FAB">
        <w:rPr>
          <w:rFonts w:ascii="Corbel" w:hAnsi="Corbel"/>
          <w:color w:val="767171" w:themeColor="background2" w:themeShade="80"/>
          <w:sz w:val="18"/>
          <w:szCs w:val="18"/>
        </w:rPr>
        <w:t>1990-201</w:t>
      </w:r>
      <w:r w:rsidR="003F2EB5">
        <w:rPr>
          <w:rFonts w:ascii="Corbel" w:hAnsi="Corbel"/>
          <w:color w:val="767171" w:themeColor="background2" w:themeShade="80"/>
          <w:sz w:val="18"/>
          <w:szCs w:val="18"/>
        </w:rPr>
        <w:t>6</w:t>
      </w:r>
      <w:r w:rsidRPr="00F04FAB">
        <w:rPr>
          <w:rFonts w:ascii="Corbel" w:hAnsi="Corbel"/>
          <w:color w:val="767171" w:themeColor="background2" w:themeShade="80"/>
          <w:sz w:val="18"/>
          <w:szCs w:val="18"/>
        </w:rPr>
        <w:t xml:space="preserve"> </w:t>
      </w:r>
      <w:r w:rsidR="00782DC2" w:rsidRPr="00F04FAB">
        <w:rPr>
          <w:rFonts w:ascii="Corbel" w:hAnsi="Corbel"/>
          <w:color w:val="767171" w:themeColor="background2" w:themeShade="80"/>
          <w:sz w:val="18"/>
          <w:szCs w:val="18"/>
        </w:rPr>
        <w:t>in million metric tons of CO</w:t>
      </w:r>
      <w:r w:rsidR="00782DC2" w:rsidRPr="00F04FAB">
        <w:rPr>
          <w:rFonts w:ascii="Corbel" w:hAnsi="Corbel"/>
          <w:color w:val="767171" w:themeColor="background2" w:themeShade="80"/>
          <w:sz w:val="18"/>
          <w:szCs w:val="18"/>
          <w:vertAlign w:val="subscript"/>
        </w:rPr>
        <w:t>2</w:t>
      </w:r>
      <w:r w:rsidR="00782DC2" w:rsidRPr="00F04FAB">
        <w:rPr>
          <w:rFonts w:ascii="Corbel" w:hAnsi="Corbel"/>
          <w:color w:val="767171" w:themeColor="background2" w:themeShade="80"/>
          <w:sz w:val="18"/>
          <w:szCs w:val="18"/>
        </w:rPr>
        <w:t xml:space="preserve"> equivalent u</w:t>
      </w:r>
      <w:r w:rsidRPr="00F04FAB">
        <w:rPr>
          <w:rFonts w:ascii="Corbel" w:hAnsi="Corbel"/>
          <w:color w:val="767171" w:themeColor="background2" w:themeShade="80"/>
          <w:sz w:val="18"/>
          <w:szCs w:val="18"/>
        </w:rPr>
        <w:t xml:space="preserve">sing </w:t>
      </w:r>
      <w:r w:rsidR="00782DC2" w:rsidRPr="00F04FAB">
        <w:rPr>
          <w:rFonts w:ascii="Corbel" w:hAnsi="Corbel"/>
          <w:color w:val="767171" w:themeColor="background2" w:themeShade="80"/>
          <w:sz w:val="18"/>
          <w:szCs w:val="18"/>
        </w:rPr>
        <w:t>a generation-based and a consumption-based accounting for the</w:t>
      </w:r>
      <w:r w:rsidRPr="00F04FAB">
        <w:rPr>
          <w:rFonts w:ascii="Corbel" w:hAnsi="Corbel"/>
          <w:color w:val="767171" w:themeColor="background2" w:themeShade="80"/>
          <w:sz w:val="18"/>
          <w:szCs w:val="18"/>
        </w:rPr>
        <w:t xml:space="preserve"> </w:t>
      </w:r>
      <w:r w:rsidR="00782DC2" w:rsidRPr="00F04FAB">
        <w:rPr>
          <w:rFonts w:ascii="Corbel" w:hAnsi="Corbel"/>
          <w:color w:val="767171" w:themeColor="background2" w:themeShade="80"/>
          <w:sz w:val="18"/>
          <w:szCs w:val="18"/>
        </w:rPr>
        <w:t>e</w:t>
      </w:r>
      <w:r w:rsidRPr="00F04FAB">
        <w:rPr>
          <w:rFonts w:ascii="Corbel" w:hAnsi="Corbel"/>
          <w:color w:val="767171" w:themeColor="background2" w:themeShade="80"/>
          <w:sz w:val="18"/>
          <w:szCs w:val="18"/>
        </w:rPr>
        <w:t xml:space="preserve">lectricity </w:t>
      </w:r>
      <w:r w:rsidR="00782DC2" w:rsidRPr="00F04FAB">
        <w:rPr>
          <w:rFonts w:ascii="Corbel" w:hAnsi="Corbel"/>
          <w:color w:val="767171" w:themeColor="background2" w:themeShade="80"/>
          <w:sz w:val="18"/>
          <w:szCs w:val="18"/>
        </w:rPr>
        <w:t>s</w:t>
      </w:r>
      <w:r w:rsidRPr="00F04FAB">
        <w:rPr>
          <w:rFonts w:ascii="Corbel" w:hAnsi="Corbel"/>
          <w:color w:val="767171" w:themeColor="background2" w:themeShade="80"/>
          <w:sz w:val="18"/>
          <w:szCs w:val="18"/>
        </w:rPr>
        <w:t>ector</w:t>
      </w:r>
      <w:r w:rsidR="00782DC2" w:rsidRPr="00F04FAB">
        <w:rPr>
          <w:rFonts w:ascii="Corbel" w:hAnsi="Corbel"/>
          <w:color w:val="767171" w:themeColor="background2" w:themeShade="80"/>
          <w:sz w:val="18"/>
          <w:szCs w:val="18"/>
        </w:rPr>
        <w:t>.</w:t>
      </w:r>
    </w:p>
    <w:p w14:paraId="173D1605" w14:textId="6C9A1DFB" w:rsidR="00D11F97" w:rsidRPr="00C375A9" w:rsidRDefault="00D11F97" w:rsidP="00D11F97">
      <w:pPr>
        <w:pStyle w:val="BasicParagraph"/>
        <w:spacing w:before="120" w:line="312" w:lineRule="auto"/>
        <w:jc w:val="both"/>
        <w:rPr>
          <w:rFonts w:ascii="Corbel" w:hAnsi="Corbel" w:cs="Corbel"/>
          <w:color w:val="767171" w:themeColor="background2" w:themeShade="80"/>
          <w:spacing w:val="5"/>
        </w:rPr>
      </w:pPr>
      <w:r w:rsidRPr="00C375A9">
        <w:rPr>
          <w:rFonts w:ascii="Corbel" w:hAnsi="Corbel" w:cs="Corbel"/>
          <w:color w:val="767171" w:themeColor="background2" w:themeShade="80"/>
          <w:spacing w:val="5"/>
        </w:rPr>
        <w:t>The transportation sector continues to be the single largest source of emissions in the state</w:t>
      </w:r>
      <w:r w:rsidR="00EB2DFF" w:rsidRPr="00C375A9">
        <w:rPr>
          <w:rFonts w:ascii="Corbel" w:hAnsi="Corbel" w:cs="Corbel"/>
          <w:color w:val="767171" w:themeColor="background2" w:themeShade="80"/>
          <w:spacing w:val="5"/>
        </w:rPr>
        <w:t xml:space="preserve"> (Figure 2)</w:t>
      </w:r>
      <w:r w:rsidRPr="00C375A9">
        <w:rPr>
          <w:rFonts w:ascii="Corbel" w:hAnsi="Corbel" w:cs="Corbel"/>
          <w:color w:val="767171" w:themeColor="background2" w:themeShade="80"/>
          <w:spacing w:val="5"/>
        </w:rPr>
        <w:t>, contributing 3</w:t>
      </w:r>
      <w:r w:rsidR="00BF022A">
        <w:rPr>
          <w:rFonts w:ascii="Corbel" w:hAnsi="Corbel" w:cs="Corbel"/>
          <w:color w:val="767171" w:themeColor="background2" w:themeShade="80"/>
          <w:spacing w:val="5"/>
        </w:rPr>
        <w:t>8</w:t>
      </w:r>
      <w:r w:rsidRPr="00C375A9">
        <w:rPr>
          <w:rFonts w:ascii="Corbel" w:hAnsi="Corbel" w:cs="Corbel"/>
          <w:color w:val="767171" w:themeColor="background2" w:themeShade="80"/>
          <w:spacing w:val="5"/>
        </w:rPr>
        <w:t xml:space="preserve"> percent</w:t>
      </w:r>
      <w:r w:rsidR="00BF022A">
        <w:rPr>
          <w:rFonts w:ascii="Corbel" w:hAnsi="Corbel" w:cs="Corbel"/>
          <w:color w:val="767171" w:themeColor="background2" w:themeShade="80"/>
          <w:spacing w:val="5"/>
        </w:rPr>
        <w:t xml:space="preserve"> to total annual emissions</w:t>
      </w:r>
      <w:r w:rsidRPr="00C375A9">
        <w:rPr>
          <w:rFonts w:ascii="Corbel" w:hAnsi="Corbel" w:cs="Corbel"/>
          <w:color w:val="767171" w:themeColor="background2" w:themeShade="80"/>
          <w:spacing w:val="5"/>
        </w:rPr>
        <w:t>, principally from the use of fossil fuels in passenger cars and light</w:t>
      </w:r>
      <w:r w:rsidR="00AF4158">
        <w:rPr>
          <w:rFonts w:ascii="Corbel" w:hAnsi="Corbel" w:cs="Corbel"/>
          <w:color w:val="767171" w:themeColor="background2" w:themeShade="80"/>
          <w:spacing w:val="5"/>
        </w:rPr>
        <w:t>-duty</w:t>
      </w:r>
      <w:r w:rsidRPr="00C375A9">
        <w:rPr>
          <w:rFonts w:ascii="Corbel" w:hAnsi="Corbel" w:cs="Corbel"/>
          <w:color w:val="767171" w:themeColor="background2" w:themeShade="80"/>
          <w:spacing w:val="5"/>
        </w:rPr>
        <w:t xml:space="preserve"> trucks. </w:t>
      </w:r>
      <w:r w:rsidR="00BF022A">
        <w:rPr>
          <w:rFonts w:ascii="Corbel" w:hAnsi="Corbel" w:cs="Corbel"/>
          <w:color w:val="767171" w:themeColor="background2" w:themeShade="80"/>
          <w:spacing w:val="5"/>
        </w:rPr>
        <w:t>While t</w:t>
      </w:r>
      <w:r w:rsidRPr="00C375A9">
        <w:rPr>
          <w:rFonts w:ascii="Corbel" w:hAnsi="Corbel" w:cs="Corbel"/>
          <w:color w:val="767171" w:themeColor="background2" w:themeShade="80"/>
          <w:spacing w:val="5"/>
        </w:rPr>
        <w:t xml:space="preserve">hese emissions have remained mostly stagnant since 1990, </w:t>
      </w:r>
      <w:r w:rsidR="00BF022A">
        <w:rPr>
          <w:rFonts w:ascii="Corbel" w:hAnsi="Corbel" w:cs="Corbel"/>
          <w:color w:val="767171" w:themeColor="background2" w:themeShade="80"/>
          <w:spacing w:val="5"/>
        </w:rPr>
        <w:t>2016 was 1.1 percent higher than 2015</w:t>
      </w:r>
      <w:r w:rsidRPr="00C375A9">
        <w:rPr>
          <w:rFonts w:ascii="Corbel" w:hAnsi="Corbel" w:cs="Corbel"/>
          <w:color w:val="767171" w:themeColor="background2" w:themeShade="80"/>
          <w:spacing w:val="5"/>
        </w:rPr>
        <w:t>. Although national fuel economy standards have improved vehicle efficiency, the number of vehicle miles driven in Connecticut have increased, which is likely the contributing factor for not attaining greater emissions reductions in the transportation sector.</w:t>
      </w:r>
      <w:r w:rsidRPr="00C375A9">
        <w:rPr>
          <w:rStyle w:val="endnotemarker"/>
          <w:rFonts w:ascii="Corbel" w:hAnsi="Corbel" w:cs="Corbel"/>
          <w:color w:val="767171" w:themeColor="background2" w:themeShade="80"/>
          <w:spacing w:val="5"/>
        </w:rPr>
        <w:footnoteReference w:id="6"/>
      </w:r>
      <w:r w:rsidRPr="00C375A9">
        <w:rPr>
          <w:rStyle w:val="endnotemarker"/>
          <w:rFonts w:ascii="Corbel" w:hAnsi="Corbel" w:cs="Corbel"/>
          <w:color w:val="767171" w:themeColor="background2" w:themeShade="80"/>
          <w:spacing w:val="5"/>
        </w:rPr>
        <w:footnoteReference w:id="7"/>
      </w:r>
      <w:r w:rsidRPr="00C375A9">
        <w:rPr>
          <w:rFonts w:ascii="Corbel" w:hAnsi="Corbel" w:cs="Corbel"/>
          <w:color w:val="767171" w:themeColor="background2" w:themeShade="80"/>
          <w:spacing w:val="5"/>
        </w:rPr>
        <w:t xml:space="preserve"> Significantly reducing transportation emissions in the coming decades will require continued improvements in vehicle fuel economy for all class sizes, increased deployment of zero-emission vehicles, and through the utilization of strategies that reduce vehicle miles traveled. </w:t>
      </w:r>
    </w:p>
    <w:p w14:paraId="6E69D78E" w14:textId="34F89A94" w:rsidR="008670F4" w:rsidRDefault="00BF022A" w:rsidP="00BF022A">
      <w:pPr>
        <w:pStyle w:val="BasicParagraph"/>
        <w:tabs>
          <w:tab w:val="left" w:pos="3330"/>
        </w:tabs>
        <w:spacing w:before="120" w:line="312" w:lineRule="auto"/>
        <w:jc w:val="both"/>
        <w:rPr>
          <w:rFonts w:ascii="Corbel" w:hAnsi="Corbel" w:cs="Corbel"/>
          <w:color w:val="595959" w:themeColor="text1" w:themeTint="A6"/>
          <w:spacing w:val="5"/>
        </w:rPr>
      </w:pPr>
      <w:r>
        <w:rPr>
          <w:noProof/>
        </w:rPr>
        <w:drawing>
          <wp:inline distT="0" distB="0" distL="0" distR="0" wp14:anchorId="404EE094" wp14:editId="5471378C">
            <wp:extent cx="5943600" cy="4554220"/>
            <wp:effectExtent l="0" t="0" r="0" b="0"/>
            <wp:docPr id="3" name="Chart 3" title="CT GHG emissions (total and 3 largest sectors), 1990-20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3557E9" w14:textId="0A602B79" w:rsidR="00EB2DFF" w:rsidRPr="00F04FAB" w:rsidRDefault="00EB2DFF" w:rsidP="00EB2DFF">
      <w:pPr>
        <w:rPr>
          <w:rFonts w:ascii="Corbel" w:hAnsi="Corbel"/>
          <w:color w:val="767171" w:themeColor="background2" w:themeShade="80"/>
          <w:sz w:val="18"/>
          <w:szCs w:val="18"/>
        </w:rPr>
      </w:pPr>
      <w:r w:rsidRPr="00F04FAB">
        <w:rPr>
          <w:rFonts w:ascii="Corbel" w:hAnsi="Corbel" w:cs="Corbel"/>
          <w:b/>
          <w:color w:val="767171" w:themeColor="background2" w:themeShade="80"/>
          <w:spacing w:val="5"/>
          <w:sz w:val="18"/>
          <w:szCs w:val="18"/>
        </w:rPr>
        <w:t>Figure 2.</w:t>
      </w:r>
      <w:r w:rsidRPr="00F04FAB">
        <w:rPr>
          <w:rFonts w:ascii="Corbel" w:hAnsi="Corbel" w:cs="Corbel"/>
          <w:color w:val="767171" w:themeColor="background2" w:themeShade="80"/>
          <w:spacing w:val="5"/>
          <w:sz w:val="18"/>
          <w:szCs w:val="18"/>
        </w:rPr>
        <w:t xml:space="preserve">  </w:t>
      </w:r>
      <w:r w:rsidRPr="00F04FAB">
        <w:rPr>
          <w:rFonts w:ascii="Corbel" w:hAnsi="Corbel"/>
          <w:color w:val="767171" w:themeColor="background2" w:themeShade="80"/>
          <w:sz w:val="18"/>
          <w:szCs w:val="18"/>
        </w:rPr>
        <w:t>Annual Connecticut greenhouse gas emissions by sector from 1990-201</w:t>
      </w:r>
      <w:r w:rsidR="006C6B7E">
        <w:rPr>
          <w:rFonts w:ascii="Corbel" w:hAnsi="Corbel"/>
          <w:color w:val="767171" w:themeColor="background2" w:themeShade="80"/>
          <w:sz w:val="18"/>
          <w:szCs w:val="18"/>
        </w:rPr>
        <w:t>6</w:t>
      </w:r>
      <w:r w:rsidRPr="00F04FAB">
        <w:rPr>
          <w:rFonts w:ascii="Corbel" w:hAnsi="Corbel"/>
          <w:color w:val="767171" w:themeColor="background2" w:themeShade="80"/>
          <w:sz w:val="18"/>
          <w:szCs w:val="18"/>
        </w:rPr>
        <w:t xml:space="preserve"> in million metric tons of CO</w:t>
      </w:r>
      <w:r w:rsidRPr="00F04FAB">
        <w:rPr>
          <w:rFonts w:ascii="Corbel" w:hAnsi="Corbel"/>
          <w:color w:val="767171" w:themeColor="background2" w:themeShade="80"/>
          <w:sz w:val="18"/>
          <w:szCs w:val="18"/>
          <w:vertAlign w:val="subscript"/>
        </w:rPr>
        <w:t>2</w:t>
      </w:r>
      <w:r w:rsidRPr="00F04FAB">
        <w:rPr>
          <w:rFonts w:ascii="Corbel" w:hAnsi="Corbel"/>
          <w:color w:val="767171" w:themeColor="background2" w:themeShade="80"/>
          <w:sz w:val="18"/>
          <w:szCs w:val="18"/>
        </w:rPr>
        <w:t xml:space="preserve"> equivalent.</w:t>
      </w:r>
    </w:p>
    <w:p w14:paraId="43CD295C" w14:textId="327C85D8" w:rsidR="00EE0774" w:rsidRPr="00395194" w:rsidRDefault="00EE0774" w:rsidP="00AF27EE">
      <w:pPr>
        <w:pStyle w:val="BasicParagraph"/>
        <w:spacing w:before="120" w:line="312" w:lineRule="auto"/>
        <w:jc w:val="both"/>
        <w:rPr>
          <w:rFonts w:ascii="Corbel" w:hAnsi="Corbel" w:cs="Corbel"/>
          <w:color w:val="595959" w:themeColor="text1" w:themeTint="A6"/>
          <w:spacing w:val="5"/>
        </w:rPr>
      </w:pPr>
      <w:r w:rsidRPr="00C375A9">
        <w:rPr>
          <w:rFonts w:ascii="Corbel" w:hAnsi="Corbel" w:cs="Corbel"/>
          <w:color w:val="767171" w:themeColor="background2" w:themeShade="80"/>
          <w:spacing w:val="5"/>
        </w:rPr>
        <w:t>Connecticut’s largest reduction since 1990 has occurred in the electric power sector —</w:t>
      </w:r>
      <w:r w:rsidR="006C6B7E">
        <w:rPr>
          <w:rFonts w:ascii="Corbel" w:hAnsi="Corbel" w:cs="Corbel"/>
          <w:color w:val="767171" w:themeColor="background2" w:themeShade="80"/>
          <w:spacing w:val="5"/>
        </w:rPr>
        <w:t>22</w:t>
      </w:r>
      <w:r w:rsidRPr="00C375A9">
        <w:rPr>
          <w:rFonts w:ascii="Corbel" w:hAnsi="Corbel" w:cs="Corbel"/>
          <w:color w:val="767171" w:themeColor="background2" w:themeShade="80"/>
          <w:spacing w:val="5"/>
        </w:rPr>
        <w:t xml:space="preserve"> percent under consumption-based accounting and </w:t>
      </w:r>
      <w:r w:rsidR="006C6B7E">
        <w:rPr>
          <w:rFonts w:ascii="Corbel" w:hAnsi="Corbel" w:cs="Corbel"/>
          <w:color w:val="767171" w:themeColor="background2" w:themeShade="80"/>
          <w:spacing w:val="5"/>
        </w:rPr>
        <w:t>29</w:t>
      </w:r>
      <w:r w:rsidRPr="00C375A9">
        <w:rPr>
          <w:rFonts w:ascii="Corbel" w:hAnsi="Corbel" w:cs="Corbel"/>
          <w:color w:val="767171" w:themeColor="background2" w:themeShade="80"/>
          <w:spacing w:val="5"/>
        </w:rPr>
        <w:t xml:space="preserve"> percent under generation-based accounting. </w:t>
      </w:r>
      <w:r w:rsidR="00FA78E5">
        <w:rPr>
          <w:rFonts w:ascii="Corbel" w:hAnsi="Corbel"/>
          <w:color w:val="767171" w:themeColor="background2" w:themeShade="80"/>
        </w:rPr>
        <w:t>According to ISO-NE,</w:t>
      </w:r>
      <w:r w:rsidR="00FA78E5" w:rsidRPr="003C64B8">
        <w:rPr>
          <w:rFonts w:ascii="Corbel" w:hAnsi="Corbel"/>
          <w:color w:val="767171" w:themeColor="background2" w:themeShade="80"/>
        </w:rPr>
        <w:t xml:space="preserve"> </w:t>
      </w:r>
      <w:r w:rsidR="00FA78E5">
        <w:rPr>
          <w:rFonts w:ascii="Corbel" w:hAnsi="Corbel"/>
          <w:color w:val="767171" w:themeColor="background2" w:themeShade="80"/>
        </w:rPr>
        <w:t xml:space="preserve">in 2016 </w:t>
      </w:r>
      <w:r w:rsidR="00FA78E5" w:rsidRPr="003C64B8">
        <w:rPr>
          <w:rFonts w:ascii="Corbel" w:hAnsi="Corbel" w:cs="Cambria"/>
          <w:color w:val="767171" w:themeColor="background2" w:themeShade="80"/>
        </w:rPr>
        <w:t>net energy load and system generation decreased by 2.0% and 2.2%, respectively</w:t>
      </w:r>
      <w:r w:rsidR="00FA78E5">
        <w:rPr>
          <w:rFonts w:ascii="Corbel" w:hAnsi="Corbel" w:cs="Cambria"/>
          <w:color w:val="767171" w:themeColor="background2" w:themeShade="80"/>
        </w:rPr>
        <w:t>, and imports into the region were 1% lower than in 2015.</w:t>
      </w:r>
      <w:r w:rsidR="00FA78E5">
        <w:rPr>
          <w:rStyle w:val="FootnoteReference"/>
          <w:rFonts w:ascii="Corbel" w:hAnsi="Corbel" w:cs="Cambria"/>
          <w:color w:val="767171" w:themeColor="background2" w:themeShade="80"/>
        </w:rPr>
        <w:footnoteReference w:id="8"/>
      </w:r>
      <w:r w:rsidR="00FA78E5">
        <w:rPr>
          <w:rFonts w:ascii="Corbel" w:hAnsi="Corbel" w:cs="Cambria"/>
          <w:color w:val="767171" w:themeColor="background2" w:themeShade="80"/>
        </w:rPr>
        <w:t xml:space="preserve">  Further, 2016 </w:t>
      </w:r>
      <w:r w:rsidR="00FA78E5" w:rsidRPr="008A2B31">
        <w:rPr>
          <w:rFonts w:ascii="Corbel" w:hAnsi="Corbel" w:cs="Cambria"/>
          <w:color w:val="767171" w:themeColor="background2" w:themeShade="80"/>
        </w:rPr>
        <w:t>Connecticut winter temperatures were 5-6 degrees Fahrenheit above average.</w:t>
      </w:r>
      <w:r w:rsidR="00FA78E5">
        <w:rPr>
          <w:rFonts w:ascii="Corbel" w:hAnsi="Corbel" w:cs="Cambria"/>
          <w:color w:val="767171" w:themeColor="background2" w:themeShade="80"/>
        </w:rPr>
        <w:t xml:space="preserve">  </w:t>
      </w:r>
      <w:r w:rsidR="00FA78E5" w:rsidRPr="00C375A9">
        <w:rPr>
          <w:rFonts w:ascii="Corbel" w:hAnsi="Corbel" w:cs="Corbel"/>
          <w:color w:val="767171" w:themeColor="background2" w:themeShade="80"/>
          <w:spacing w:val="5"/>
        </w:rPr>
        <w:t xml:space="preserve">This reduction correlates with state and regional policies and programs that encourage investment in energy efficiency in homes and businesses, a shift from dirtier fossil fuels such as coil and oil to natural gas, and increased deployment of renewable </w:t>
      </w:r>
      <w:r w:rsidR="00FA78E5" w:rsidRPr="00395194">
        <w:rPr>
          <w:rFonts w:ascii="Corbel" w:hAnsi="Corbel" w:cs="Corbel"/>
          <w:color w:val="595959" w:themeColor="text1" w:themeTint="A6"/>
          <w:spacing w:val="5"/>
        </w:rPr>
        <w:t>energy sources.</w:t>
      </w:r>
    </w:p>
    <w:p w14:paraId="568FF9F7" w14:textId="28BAF57F" w:rsidR="008A2F1F" w:rsidRPr="00395194" w:rsidRDefault="008A2F1F" w:rsidP="00AF27EE">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Additional emissions reductions in this sector will come from further reducing reliance on oil and coal during periods of peak electricity demand, continu</w:t>
      </w:r>
      <w:r w:rsidR="002B761A">
        <w:rPr>
          <w:rFonts w:ascii="Corbel" w:hAnsi="Corbel" w:cs="Corbel"/>
          <w:color w:val="595959" w:themeColor="text1" w:themeTint="A6"/>
          <w:spacing w:val="5"/>
        </w:rPr>
        <w:t>al</w:t>
      </w:r>
      <w:r w:rsidRPr="00395194">
        <w:rPr>
          <w:rFonts w:ascii="Corbel" w:hAnsi="Corbel" w:cs="Corbel"/>
          <w:color w:val="595959" w:themeColor="text1" w:themeTint="A6"/>
          <w:spacing w:val="5"/>
        </w:rPr>
        <w:t xml:space="preserve"> expansion of renewable energy, and mainstreaming of energy efficiency in homes, businesses, and industry. </w:t>
      </w:r>
      <w:r w:rsidR="002B761A">
        <w:rPr>
          <w:rFonts w:ascii="Corbel" w:hAnsi="Corbel" w:cs="Corbel"/>
          <w:color w:val="595959" w:themeColor="text1" w:themeTint="A6"/>
          <w:spacing w:val="5"/>
        </w:rPr>
        <w:t xml:space="preserve"> </w:t>
      </w:r>
    </w:p>
    <w:p w14:paraId="1034F675" w14:textId="7839FD6E" w:rsidR="00182437" w:rsidRDefault="00773FF7" w:rsidP="00AF27EE">
      <w:pPr>
        <w:pStyle w:val="BasicParagraph"/>
        <w:spacing w:before="120" w:line="312" w:lineRule="auto"/>
        <w:jc w:val="both"/>
        <w:rPr>
          <w:rFonts w:ascii="Corbel" w:hAnsi="Corbel" w:cs="Tahoma"/>
          <w:b/>
          <w:i/>
          <w:color w:val="686868"/>
          <w:spacing w:val="5"/>
        </w:rPr>
      </w:pPr>
      <w:r>
        <w:rPr>
          <w:rFonts w:ascii="Corbel" w:hAnsi="Corbel" w:cs="Tahoma"/>
          <w:b/>
          <w:i/>
          <w:color w:val="686868"/>
          <w:spacing w:val="5"/>
        </w:rPr>
        <w:t xml:space="preserve">Effects of Extreme Weather Events </w:t>
      </w:r>
    </w:p>
    <w:p w14:paraId="34806A4D" w14:textId="7DEFA42B" w:rsidR="002816B1" w:rsidRPr="00C375A9" w:rsidRDefault="002816B1" w:rsidP="002816B1">
      <w:pPr>
        <w:pStyle w:val="NormalWeb"/>
        <w:spacing w:before="120" w:beforeAutospacing="0" w:after="0" w:afterAutospacing="0" w:line="312" w:lineRule="auto"/>
        <w:jc w:val="both"/>
        <w:rPr>
          <w:rFonts w:ascii="Corbel" w:hAnsi="Corbel"/>
          <w:noProof/>
          <w:color w:val="767171" w:themeColor="background2" w:themeShade="80"/>
        </w:rPr>
      </w:pPr>
      <w:r>
        <w:rPr>
          <w:rFonts w:ascii="Corbel" w:hAnsi="Corbel"/>
          <w:color w:val="595959" w:themeColor="text1" w:themeTint="A6"/>
          <w:lang w:val="en"/>
        </w:rPr>
        <w:t>January through March 201</w:t>
      </w:r>
      <w:r w:rsidR="006C6B7E">
        <w:rPr>
          <w:rFonts w:ascii="Corbel" w:hAnsi="Corbel"/>
          <w:color w:val="595959" w:themeColor="text1" w:themeTint="A6"/>
          <w:lang w:val="en"/>
        </w:rPr>
        <w:t>6</w:t>
      </w:r>
      <w:r>
        <w:rPr>
          <w:rFonts w:ascii="Corbel" w:hAnsi="Corbel"/>
          <w:color w:val="595959" w:themeColor="text1" w:themeTint="A6"/>
          <w:lang w:val="en"/>
        </w:rPr>
        <w:t xml:space="preserve"> temperatures were </w:t>
      </w:r>
      <w:r w:rsidR="006C6B7E">
        <w:rPr>
          <w:rFonts w:ascii="Corbel" w:hAnsi="Corbel"/>
          <w:color w:val="595959" w:themeColor="text1" w:themeTint="A6"/>
          <w:lang w:val="en"/>
        </w:rPr>
        <w:t>all above</w:t>
      </w:r>
      <w:r>
        <w:rPr>
          <w:rFonts w:ascii="Corbel" w:hAnsi="Corbel"/>
          <w:color w:val="595959" w:themeColor="text1" w:themeTint="A6"/>
          <w:lang w:val="en"/>
        </w:rPr>
        <w:t xml:space="preserve"> average (Figure </w:t>
      </w:r>
      <w:r w:rsidR="00DE781A">
        <w:rPr>
          <w:rFonts w:ascii="Corbel" w:hAnsi="Corbel"/>
          <w:color w:val="595959" w:themeColor="text1" w:themeTint="A6"/>
          <w:lang w:val="en"/>
        </w:rPr>
        <w:t>3</w:t>
      </w:r>
      <w:r>
        <w:rPr>
          <w:rFonts w:ascii="Corbel" w:hAnsi="Corbel"/>
          <w:color w:val="595959" w:themeColor="text1" w:themeTint="A6"/>
          <w:lang w:val="en"/>
        </w:rPr>
        <w:t xml:space="preserve">).  </w:t>
      </w:r>
      <w:r w:rsidR="00F37CDC">
        <w:rPr>
          <w:rFonts w:ascii="Corbel" w:hAnsi="Corbel"/>
          <w:color w:val="767171" w:themeColor="background2" w:themeShade="80"/>
          <w:lang w:val="en"/>
        </w:rPr>
        <w:t xml:space="preserve">2016’s warm winter affected not only the electric sector, but also the commercial and residential sector.  Emissions in the residential sector were the lowest on record, with an 18.3 percent reduction from 2015. </w:t>
      </w:r>
      <w:r w:rsidR="00F37CDC">
        <w:rPr>
          <w:rFonts w:ascii="Corbel" w:hAnsi="Corbel"/>
          <w:color w:val="595959" w:themeColor="text1" w:themeTint="A6"/>
          <w:lang w:val="en"/>
        </w:rPr>
        <w:t>In contrast, w</w:t>
      </w:r>
      <w:r>
        <w:rPr>
          <w:rFonts w:ascii="Corbel" w:hAnsi="Corbel"/>
          <w:color w:val="595959" w:themeColor="text1" w:themeTint="A6"/>
          <w:lang w:val="en"/>
        </w:rPr>
        <w:t xml:space="preserve">inter 2015 was </w:t>
      </w:r>
      <w:r w:rsidRPr="00C375A9">
        <w:rPr>
          <w:rFonts w:ascii="Corbel" w:hAnsi="Corbel"/>
          <w:color w:val="767171" w:themeColor="background2" w:themeShade="80"/>
          <w:lang w:val="en"/>
        </w:rPr>
        <w:t>one of the coldest on record for much of the Northeast US, particularly</w:t>
      </w:r>
      <w:r w:rsidR="00DE781A" w:rsidRPr="00C375A9">
        <w:rPr>
          <w:rFonts w:ascii="Corbel" w:hAnsi="Corbel"/>
          <w:color w:val="767171" w:themeColor="background2" w:themeShade="80"/>
          <w:lang w:val="en"/>
        </w:rPr>
        <w:t xml:space="preserve"> February</w:t>
      </w:r>
      <w:r w:rsidRPr="00C375A9">
        <w:rPr>
          <w:rFonts w:ascii="Corbel" w:hAnsi="Corbel"/>
          <w:color w:val="767171" w:themeColor="background2" w:themeShade="80"/>
          <w:lang w:val="en"/>
        </w:rPr>
        <w:t xml:space="preserve">.  </w:t>
      </w:r>
      <w:r w:rsidR="006C6B7E">
        <w:rPr>
          <w:rFonts w:ascii="Corbel" w:hAnsi="Corbel"/>
          <w:color w:val="767171" w:themeColor="background2" w:themeShade="80"/>
          <w:lang w:val="en"/>
        </w:rPr>
        <w:t xml:space="preserve">This was the primary reason for 2015 emissions reaching a 5 year high.  </w:t>
      </w:r>
    </w:p>
    <w:p w14:paraId="6AEE018A" w14:textId="5089865D" w:rsidR="0040540C" w:rsidRPr="00F04FAB" w:rsidRDefault="002B761A" w:rsidP="002B761A">
      <w:pPr>
        <w:pStyle w:val="BasicParagraph"/>
        <w:spacing w:before="120" w:line="312" w:lineRule="auto"/>
        <w:jc w:val="both"/>
        <w:rPr>
          <w:rFonts w:ascii="Corbel" w:hAnsi="Corbel" w:cs="Tahoma"/>
          <w:b/>
          <w:i/>
          <w:color w:val="767171" w:themeColor="background2" w:themeShade="80"/>
          <w:spacing w:val="5"/>
          <w:sz w:val="18"/>
          <w:szCs w:val="18"/>
        </w:rPr>
      </w:pPr>
      <w:r w:rsidRPr="00F04FAB">
        <w:rPr>
          <w:rFonts w:ascii="Corbel" w:hAnsi="Corbel" w:cs="Tahoma"/>
          <w:b/>
          <w:i/>
          <w:noProof/>
          <w:color w:val="767171" w:themeColor="background2" w:themeShade="80"/>
          <w:spacing w:val="5"/>
          <w:sz w:val="18"/>
          <w:szCs w:val="18"/>
        </w:rPr>
        <w:drawing>
          <wp:inline distT="0" distB="0" distL="0" distR="0" wp14:anchorId="318B370C" wp14:editId="78F5A30A">
            <wp:extent cx="5943600" cy="3027045"/>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BDF143" w14:textId="4632A1FD" w:rsidR="0040540C" w:rsidRPr="00F04FAB" w:rsidRDefault="0040540C" w:rsidP="00F5431E">
      <w:pPr>
        <w:jc w:val="both"/>
        <w:rPr>
          <w:rFonts w:ascii="Corbel" w:hAnsi="Corbel"/>
          <w:color w:val="767171" w:themeColor="background2" w:themeShade="80"/>
          <w:sz w:val="18"/>
          <w:szCs w:val="18"/>
        </w:rPr>
      </w:pPr>
      <w:r w:rsidRPr="00F04FAB">
        <w:rPr>
          <w:rFonts w:ascii="Corbel" w:hAnsi="Corbel"/>
          <w:color w:val="767171" w:themeColor="background2" w:themeShade="80"/>
          <w:sz w:val="18"/>
          <w:szCs w:val="18"/>
        </w:rPr>
        <w:t xml:space="preserve">Figure </w:t>
      </w:r>
      <w:r w:rsidR="00DE781A" w:rsidRPr="00F04FAB">
        <w:rPr>
          <w:rFonts w:ascii="Corbel" w:hAnsi="Corbel"/>
          <w:color w:val="767171" w:themeColor="background2" w:themeShade="80"/>
          <w:sz w:val="18"/>
          <w:szCs w:val="18"/>
        </w:rPr>
        <w:t>3</w:t>
      </w:r>
      <w:r w:rsidRPr="00F04FAB">
        <w:rPr>
          <w:rFonts w:ascii="Corbel" w:hAnsi="Corbel"/>
          <w:color w:val="767171" w:themeColor="background2" w:themeShade="80"/>
          <w:sz w:val="18"/>
          <w:szCs w:val="18"/>
        </w:rPr>
        <w:t xml:space="preserve">. Connecticut monthly temperature anomaly from 1980-2018 for January, February and March.  </w:t>
      </w:r>
      <w:r w:rsidR="002B761A" w:rsidRPr="00F04FAB">
        <w:rPr>
          <w:rFonts w:ascii="Corbel" w:hAnsi="Corbel"/>
          <w:color w:val="767171" w:themeColor="background2" w:themeShade="80"/>
          <w:sz w:val="18"/>
          <w:szCs w:val="18"/>
        </w:rPr>
        <w:t xml:space="preserve">Temperature anomaly is the departure of detrended monthly means from 1980-2018 climatology </w:t>
      </w:r>
      <w:r w:rsidRPr="00F04FAB">
        <w:rPr>
          <w:rFonts w:ascii="Corbel" w:hAnsi="Corbel"/>
          <w:color w:val="767171" w:themeColor="background2" w:themeShade="80"/>
          <w:sz w:val="18"/>
          <w:szCs w:val="18"/>
        </w:rPr>
        <w:t>in degrees Fahrenheit.  Source</w:t>
      </w:r>
      <w:r w:rsidR="006670B9" w:rsidRPr="00F04FAB">
        <w:rPr>
          <w:rFonts w:ascii="Corbel" w:hAnsi="Corbel"/>
          <w:color w:val="767171" w:themeColor="background2" w:themeShade="80"/>
          <w:sz w:val="18"/>
          <w:szCs w:val="18"/>
        </w:rPr>
        <w:t>:</w:t>
      </w:r>
      <w:r w:rsidRPr="00F04FAB">
        <w:rPr>
          <w:rFonts w:ascii="Corbel" w:hAnsi="Corbel"/>
          <w:color w:val="767171" w:themeColor="background2" w:themeShade="80"/>
          <w:sz w:val="18"/>
          <w:szCs w:val="18"/>
        </w:rPr>
        <w:t xml:space="preserve"> NOAA statewide Climate at a Glance (https://www.ncdc.noaa.gov/cag/).</w:t>
      </w:r>
    </w:p>
    <w:p w14:paraId="6DD3809A" w14:textId="09A7F9D0" w:rsidR="0040540C" w:rsidRPr="0095016B" w:rsidRDefault="00E12C94" w:rsidP="00BE5EAF">
      <w:pPr>
        <w:spacing w:before="120" w:after="0" w:line="312" w:lineRule="auto"/>
        <w:jc w:val="both"/>
        <w:rPr>
          <w:rFonts w:ascii="Corbel" w:hAnsi="Corbel"/>
          <w:color w:val="767171" w:themeColor="background2" w:themeShade="80"/>
          <w:sz w:val="24"/>
          <w:szCs w:val="24"/>
        </w:rPr>
      </w:pPr>
      <w:r w:rsidRPr="0095016B">
        <w:rPr>
          <w:rFonts w:ascii="Corbel" w:hAnsi="Corbel"/>
          <w:color w:val="767171" w:themeColor="background2" w:themeShade="80"/>
          <w:sz w:val="24"/>
          <w:szCs w:val="24"/>
        </w:rPr>
        <w:t xml:space="preserve">For </w:t>
      </w:r>
      <w:r w:rsidR="0040540C" w:rsidRPr="0095016B">
        <w:rPr>
          <w:rFonts w:ascii="Corbel" w:hAnsi="Corbel"/>
          <w:color w:val="767171" w:themeColor="background2" w:themeShade="80"/>
          <w:sz w:val="24"/>
          <w:szCs w:val="24"/>
        </w:rPr>
        <w:t>Connecticut over 78% of energy demand is met through use of natural gas, and demand for natural gas is highest when the weather is coldest. In the ISO-NE region, over 50% of the electricity generated is from natural gas-fueled resources.  When demand is high, residential</w:t>
      </w:r>
      <w:r w:rsidR="00773FF7" w:rsidRPr="0095016B">
        <w:rPr>
          <w:rFonts w:ascii="Corbel" w:hAnsi="Corbel"/>
          <w:color w:val="767171" w:themeColor="background2" w:themeShade="80"/>
          <w:sz w:val="24"/>
          <w:szCs w:val="24"/>
        </w:rPr>
        <w:t xml:space="preserve"> thermal</w:t>
      </w:r>
      <w:r w:rsidR="0040540C" w:rsidRPr="0095016B">
        <w:rPr>
          <w:rFonts w:ascii="Corbel" w:hAnsi="Corbel"/>
          <w:color w:val="767171" w:themeColor="background2" w:themeShade="80"/>
          <w:sz w:val="24"/>
          <w:szCs w:val="24"/>
        </w:rPr>
        <w:t xml:space="preserve"> customers are guaranteed</w:t>
      </w:r>
      <w:r w:rsidR="00773FF7" w:rsidRPr="0095016B">
        <w:rPr>
          <w:rFonts w:ascii="Corbel" w:hAnsi="Corbel"/>
          <w:color w:val="767171" w:themeColor="background2" w:themeShade="80"/>
          <w:sz w:val="24"/>
          <w:szCs w:val="24"/>
        </w:rPr>
        <w:t xml:space="preserve"> natural gas </w:t>
      </w:r>
      <w:r w:rsidR="0040540C" w:rsidRPr="0095016B">
        <w:rPr>
          <w:rFonts w:ascii="Corbel" w:hAnsi="Corbel"/>
          <w:color w:val="767171" w:themeColor="background2" w:themeShade="80"/>
          <w:sz w:val="24"/>
          <w:szCs w:val="24"/>
        </w:rPr>
        <w:t xml:space="preserve">supply, </w:t>
      </w:r>
      <w:r w:rsidR="00325C35" w:rsidRPr="0095016B">
        <w:rPr>
          <w:rFonts w:ascii="Corbel" w:hAnsi="Corbel"/>
          <w:color w:val="767171" w:themeColor="background2" w:themeShade="80"/>
          <w:sz w:val="24"/>
          <w:szCs w:val="24"/>
        </w:rPr>
        <w:t>but</w:t>
      </w:r>
      <w:r w:rsidR="0040540C" w:rsidRPr="0095016B">
        <w:rPr>
          <w:rFonts w:ascii="Corbel" w:hAnsi="Corbel"/>
          <w:color w:val="767171" w:themeColor="background2" w:themeShade="80"/>
          <w:sz w:val="24"/>
          <w:szCs w:val="24"/>
        </w:rPr>
        <w:t xml:space="preserve"> there is little left in the pipeline for electric generation needs.</w:t>
      </w:r>
      <w:r w:rsidR="00325C35" w:rsidRPr="0095016B">
        <w:rPr>
          <w:rFonts w:ascii="Corbel" w:hAnsi="Corbel"/>
          <w:color w:val="767171" w:themeColor="background2" w:themeShade="80"/>
          <w:sz w:val="24"/>
          <w:szCs w:val="24"/>
        </w:rPr>
        <w:t xml:space="preserve"> To </w:t>
      </w:r>
      <w:r w:rsidR="00773FF7" w:rsidRPr="0095016B">
        <w:rPr>
          <w:rFonts w:ascii="Corbel" w:hAnsi="Corbel"/>
          <w:color w:val="767171" w:themeColor="background2" w:themeShade="80"/>
          <w:sz w:val="24"/>
          <w:szCs w:val="24"/>
        </w:rPr>
        <w:t>ensure electric reliability, GHG intensive oil and coal electric generating units are called upon to satisfy the regions electric needs.</w:t>
      </w:r>
      <w:r w:rsidR="00325C35" w:rsidRPr="0095016B">
        <w:rPr>
          <w:rFonts w:ascii="Corbel" w:hAnsi="Corbel"/>
          <w:color w:val="767171" w:themeColor="background2" w:themeShade="80"/>
          <w:sz w:val="24"/>
          <w:szCs w:val="24"/>
        </w:rPr>
        <w:t xml:space="preserve"> </w:t>
      </w:r>
    </w:p>
    <w:p w14:paraId="6DCBCC9F" w14:textId="4465A41F" w:rsidR="00BE5EAF" w:rsidRPr="0095016B" w:rsidRDefault="0040540C" w:rsidP="00D30E8F">
      <w:pPr>
        <w:spacing w:before="120" w:after="0" w:line="312" w:lineRule="auto"/>
        <w:jc w:val="both"/>
        <w:rPr>
          <w:rFonts w:ascii="Corbel" w:hAnsi="Corbel"/>
          <w:color w:val="767171" w:themeColor="background2" w:themeShade="80"/>
          <w:sz w:val="24"/>
          <w:szCs w:val="24"/>
        </w:rPr>
      </w:pPr>
      <w:r w:rsidRPr="0095016B">
        <w:rPr>
          <w:rFonts w:ascii="Corbel" w:hAnsi="Corbel"/>
          <w:color w:val="767171" w:themeColor="background2" w:themeShade="80"/>
          <w:sz w:val="24"/>
          <w:szCs w:val="24"/>
        </w:rPr>
        <w:t xml:space="preserve">Emission factors for coal and oil (205-214 and </w:t>
      </w:r>
      <w:r w:rsidR="00325C35" w:rsidRPr="0095016B">
        <w:rPr>
          <w:rFonts w:ascii="Corbel" w:hAnsi="Corbel"/>
          <w:color w:val="767171" w:themeColor="background2" w:themeShade="80"/>
          <w:sz w:val="24"/>
          <w:szCs w:val="24"/>
        </w:rPr>
        <w:t>161-210</w:t>
      </w:r>
      <w:r w:rsidRPr="0095016B">
        <w:rPr>
          <w:rFonts w:ascii="Corbel" w:hAnsi="Corbel"/>
          <w:color w:val="767171" w:themeColor="background2" w:themeShade="80"/>
          <w:sz w:val="24"/>
          <w:szCs w:val="24"/>
        </w:rPr>
        <w:t xml:space="preserve"> CO2 lb/MMBtu, respectively) are higher than emission factors for natural gas (177 CO2 lb/MMBtu).  </w:t>
      </w:r>
      <w:r w:rsidR="00F37CDC">
        <w:rPr>
          <w:rFonts w:ascii="Corbel" w:hAnsi="Corbel"/>
          <w:color w:val="767171" w:themeColor="background2" w:themeShade="80"/>
          <w:sz w:val="24"/>
          <w:szCs w:val="24"/>
        </w:rPr>
        <w:t>When</w:t>
      </w:r>
      <w:r w:rsidRPr="0095016B">
        <w:rPr>
          <w:rFonts w:ascii="Corbel" w:hAnsi="Corbel"/>
          <w:color w:val="767171" w:themeColor="background2" w:themeShade="80"/>
          <w:sz w:val="24"/>
          <w:szCs w:val="24"/>
        </w:rPr>
        <w:t xml:space="preserve"> a larger percentage of </w:t>
      </w:r>
      <w:r w:rsidR="0095016B" w:rsidRPr="0095016B">
        <w:rPr>
          <w:rFonts w:ascii="Corbel" w:hAnsi="Corbel"/>
          <w:color w:val="767171" w:themeColor="background2" w:themeShade="80"/>
          <w:sz w:val="24"/>
          <w:szCs w:val="24"/>
        </w:rPr>
        <w:t>GHG intensive</w:t>
      </w:r>
      <w:r w:rsidRPr="0095016B">
        <w:rPr>
          <w:rFonts w:ascii="Corbel" w:hAnsi="Corbel"/>
          <w:color w:val="767171" w:themeColor="background2" w:themeShade="80"/>
          <w:sz w:val="24"/>
          <w:szCs w:val="24"/>
        </w:rPr>
        <w:t xml:space="preserve"> fuels </w:t>
      </w:r>
      <w:r w:rsidR="00F37CDC">
        <w:rPr>
          <w:rFonts w:ascii="Corbel" w:hAnsi="Corbel"/>
          <w:color w:val="767171" w:themeColor="background2" w:themeShade="80"/>
          <w:sz w:val="24"/>
          <w:szCs w:val="24"/>
        </w:rPr>
        <w:t xml:space="preserve">are </w:t>
      </w:r>
      <w:r w:rsidRPr="0095016B">
        <w:rPr>
          <w:rFonts w:ascii="Corbel" w:hAnsi="Corbel"/>
          <w:color w:val="767171" w:themeColor="background2" w:themeShade="80"/>
          <w:sz w:val="24"/>
          <w:szCs w:val="24"/>
        </w:rPr>
        <w:t xml:space="preserve">used, overall CO2 emissions for the state of Connecticut </w:t>
      </w:r>
      <w:r w:rsidR="00325C35" w:rsidRPr="0095016B">
        <w:rPr>
          <w:rFonts w:ascii="Corbel" w:hAnsi="Corbel"/>
          <w:color w:val="767171" w:themeColor="background2" w:themeShade="80"/>
          <w:sz w:val="24"/>
          <w:szCs w:val="24"/>
        </w:rPr>
        <w:t xml:space="preserve">(and throughout </w:t>
      </w:r>
      <w:r w:rsidR="00DE781A" w:rsidRPr="0095016B">
        <w:rPr>
          <w:rFonts w:ascii="Corbel" w:hAnsi="Corbel"/>
          <w:color w:val="767171" w:themeColor="background2" w:themeShade="80"/>
          <w:sz w:val="24"/>
          <w:szCs w:val="24"/>
        </w:rPr>
        <w:t>the New England</w:t>
      </w:r>
      <w:r w:rsidR="00325C35" w:rsidRPr="0095016B">
        <w:rPr>
          <w:rFonts w:ascii="Corbel" w:hAnsi="Corbel"/>
          <w:color w:val="767171" w:themeColor="background2" w:themeShade="80"/>
          <w:sz w:val="24"/>
          <w:szCs w:val="24"/>
        </w:rPr>
        <w:t xml:space="preserve"> region) </w:t>
      </w:r>
      <w:r w:rsidR="00F37CDC">
        <w:rPr>
          <w:rFonts w:ascii="Corbel" w:hAnsi="Corbel"/>
          <w:color w:val="767171" w:themeColor="background2" w:themeShade="80"/>
          <w:sz w:val="24"/>
          <w:szCs w:val="24"/>
        </w:rPr>
        <w:t>will be</w:t>
      </w:r>
      <w:r w:rsidRPr="0095016B">
        <w:rPr>
          <w:rFonts w:ascii="Corbel" w:hAnsi="Corbel"/>
          <w:color w:val="767171" w:themeColor="background2" w:themeShade="80"/>
          <w:sz w:val="24"/>
          <w:szCs w:val="24"/>
        </w:rPr>
        <w:t xml:space="preserve"> higher.</w:t>
      </w:r>
      <w:r w:rsidR="0095016B" w:rsidRPr="0095016B">
        <w:rPr>
          <w:rFonts w:ascii="Corbel" w:hAnsi="Corbel"/>
          <w:color w:val="767171" w:themeColor="background2" w:themeShade="80"/>
          <w:sz w:val="24"/>
          <w:szCs w:val="24"/>
        </w:rPr>
        <w:t xml:space="preserve"> </w:t>
      </w:r>
      <w:r w:rsidR="00F37CDC">
        <w:rPr>
          <w:rFonts w:ascii="Corbel" w:hAnsi="Corbel"/>
          <w:color w:val="767171" w:themeColor="background2" w:themeShade="80"/>
          <w:sz w:val="24"/>
          <w:szCs w:val="24"/>
        </w:rPr>
        <w:t>E</w:t>
      </w:r>
      <w:r w:rsidR="0095016B" w:rsidRPr="0095016B">
        <w:rPr>
          <w:rFonts w:ascii="Corbel" w:hAnsi="Corbel"/>
          <w:color w:val="767171" w:themeColor="background2" w:themeShade="80"/>
          <w:sz w:val="24"/>
          <w:szCs w:val="24"/>
        </w:rPr>
        <w:t>xtreme winter events have a significant imp</w:t>
      </w:r>
      <w:r w:rsidR="00F37CDC">
        <w:rPr>
          <w:rFonts w:ascii="Corbel" w:hAnsi="Corbel"/>
          <w:color w:val="767171" w:themeColor="background2" w:themeShade="80"/>
          <w:sz w:val="24"/>
          <w:szCs w:val="24"/>
        </w:rPr>
        <w:t>act on regional GHG emissi</w:t>
      </w:r>
      <w:r w:rsidR="00E21D9A">
        <w:rPr>
          <w:rFonts w:ascii="Corbel" w:hAnsi="Corbel"/>
          <w:color w:val="767171" w:themeColor="background2" w:themeShade="80"/>
          <w:sz w:val="24"/>
          <w:szCs w:val="24"/>
        </w:rPr>
        <w:t>ons, and it is clear that mitigation through insolation of commercial and residential buildings could help Connecticut achieve future GHG emission goals.</w:t>
      </w:r>
    </w:p>
    <w:p w14:paraId="01290BF4" w14:textId="17143DC0" w:rsidR="00D30E8F" w:rsidRPr="00D30E8F" w:rsidRDefault="00D30E8F" w:rsidP="00D30E8F">
      <w:pPr>
        <w:pStyle w:val="BasicParagraph"/>
        <w:spacing w:before="120" w:line="312" w:lineRule="auto"/>
        <w:jc w:val="both"/>
        <w:rPr>
          <w:rFonts w:ascii="Corbel" w:hAnsi="Corbel" w:cs="Tahoma"/>
          <w:b/>
          <w:i/>
          <w:color w:val="686868"/>
          <w:spacing w:val="5"/>
        </w:rPr>
      </w:pPr>
      <w:r>
        <w:rPr>
          <w:rFonts w:ascii="Corbel" w:hAnsi="Corbel" w:cs="Tahoma"/>
          <w:b/>
          <w:i/>
          <w:color w:val="686868"/>
          <w:spacing w:val="5"/>
        </w:rPr>
        <w:t>Economy and Demographics</w:t>
      </w:r>
    </w:p>
    <w:p w14:paraId="58A3649E" w14:textId="14A49B26" w:rsidR="008A6237" w:rsidRDefault="008A6237" w:rsidP="002816B1">
      <w:pPr>
        <w:pStyle w:val="BasicParagraph"/>
        <w:spacing w:before="120" w:line="312" w:lineRule="auto"/>
        <w:jc w:val="both"/>
        <w:rPr>
          <w:rFonts w:ascii="Corbel" w:hAnsi="Corbel" w:cs="Corbel"/>
          <w:color w:val="686868"/>
          <w:spacing w:val="5"/>
        </w:rPr>
      </w:pPr>
      <w:r w:rsidRPr="008A6237">
        <w:rPr>
          <w:rFonts w:ascii="Corbel" w:hAnsi="Corbel" w:cs="Corbel"/>
          <w:color w:val="686868"/>
          <w:spacing w:val="5"/>
        </w:rPr>
        <w:t xml:space="preserve">Overall trends in the inventory demonstrate that the carbon intensity of Connecticut’s economy has declined — falling </w:t>
      </w:r>
      <w:r>
        <w:rPr>
          <w:rFonts w:ascii="Corbel" w:hAnsi="Corbel" w:cs="Corbel"/>
          <w:color w:val="686868"/>
          <w:spacing w:val="5"/>
        </w:rPr>
        <w:t>6</w:t>
      </w:r>
      <w:r w:rsidR="00E21D9A">
        <w:rPr>
          <w:rFonts w:ascii="Corbel" w:hAnsi="Corbel" w:cs="Corbel"/>
          <w:color w:val="686868"/>
          <w:spacing w:val="5"/>
        </w:rPr>
        <w:t>5</w:t>
      </w:r>
      <w:r w:rsidRPr="008A6237">
        <w:rPr>
          <w:rFonts w:ascii="Corbel" w:hAnsi="Corbel" w:cs="Corbel"/>
          <w:color w:val="686868"/>
          <w:spacing w:val="5"/>
        </w:rPr>
        <w:t xml:space="preserve"> percent from </w:t>
      </w:r>
      <w:r>
        <w:rPr>
          <w:rFonts w:ascii="Corbel" w:hAnsi="Corbel" w:cs="Corbel"/>
          <w:color w:val="686868"/>
          <w:spacing w:val="5"/>
        </w:rPr>
        <w:t>1990</w:t>
      </w:r>
      <w:r w:rsidRPr="008A6237">
        <w:rPr>
          <w:rFonts w:ascii="Corbel" w:hAnsi="Corbel" w:cs="Corbel"/>
          <w:color w:val="686868"/>
          <w:spacing w:val="5"/>
        </w:rPr>
        <w:t xml:space="preserve"> to 201</w:t>
      </w:r>
      <w:r w:rsidR="00E21D9A">
        <w:rPr>
          <w:rFonts w:ascii="Corbel" w:hAnsi="Corbel" w:cs="Corbel"/>
          <w:color w:val="686868"/>
          <w:spacing w:val="5"/>
        </w:rPr>
        <w:t>6</w:t>
      </w:r>
      <w:r>
        <w:rPr>
          <w:rFonts w:ascii="Corbel" w:hAnsi="Corbel" w:cs="Corbel"/>
          <w:color w:val="686868"/>
          <w:spacing w:val="5"/>
        </w:rPr>
        <w:t>, 0.3</w:t>
      </w:r>
      <w:r w:rsidR="00E21D9A">
        <w:rPr>
          <w:rFonts w:ascii="Corbel" w:hAnsi="Corbel" w:cs="Corbel"/>
          <w:color w:val="686868"/>
          <w:spacing w:val="5"/>
        </w:rPr>
        <w:t>4</w:t>
      </w:r>
      <w:r>
        <w:rPr>
          <w:rFonts w:ascii="Corbel" w:hAnsi="Corbel" w:cs="Corbel"/>
          <w:color w:val="686868"/>
          <w:spacing w:val="5"/>
        </w:rPr>
        <w:t xml:space="preserve"> lbsCO2e/$ (USD 201</w:t>
      </w:r>
      <w:r w:rsidR="00E21D9A">
        <w:rPr>
          <w:rFonts w:ascii="Corbel" w:hAnsi="Corbel" w:cs="Corbel"/>
          <w:color w:val="686868"/>
          <w:spacing w:val="5"/>
        </w:rPr>
        <w:t>6</w:t>
      </w:r>
      <w:r>
        <w:rPr>
          <w:rFonts w:ascii="Corbel" w:hAnsi="Corbel" w:cs="Corbel"/>
          <w:color w:val="686868"/>
          <w:spacing w:val="5"/>
        </w:rPr>
        <w:t>, Figure 4)</w:t>
      </w:r>
      <w:r w:rsidRPr="008A6237">
        <w:rPr>
          <w:rFonts w:ascii="Corbel" w:hAnsi="Corbel" w:cs="Corbel"/>
          <w:color w:val="686868"/>
          <w:spacing w:val="5"/>
        </w:rPr>
        <w:t xml:space="preserve">. This demonstrates significant long-term decoupling of economic growth and carbon pollution. In addition to this, Connecticut’s per capita emissions are among the lowest in the country and have declined </w:t>
      </w:r>
      <w:r w:rsidR="00E21D9A">
        <w:rPr>
          <w:rFonts w:ascii="Corbel" w:hAnsi="Corbel" w:cs="Corbel"/>
          <w:color w:val="686868"/>
          <w:spacing w:val="5"/>
        </w:rPr>
        <w:t>16</w:t>
      </w:r>
      <w:r w:rsidRPr="008A6237">
        <w:rPr>
          <w:rFonts w:ascii="Corbel" w:hAnsi="Corbel" w:cs="Corbel"/>
          <w:color w:val="686868"/>
          <w:spacing w:val="5"/>
        </w:rPr>
        <w:t xml:space="preserve"> percent between </w:t>
      </w:r>
      <w:r w:rsidR="003D599F">
        <w:rPr>
          <w:rFonts w:ascii="Corbel" w:hAnsi="Corbel" w:cs="Corbel"/>
          <w:color w:val="686868"/>
          <w:spacing w:val="5"/>
        </w:rPr>
        <w:t>1990</w:t>
      </w:r>
      <w:r w:rsidRPr="008A6237">
        <w:rPr>
          <w:rFonts w:ascii="Corbel" w:hAnsi="Corbel" w:cs="Corbel"/>
          <w:color w:val="686868"/>
          <w:spacing w:val="5"/>
        </w:rPr>
        <w:t xml:space="preserve"> and 201</w:t>
      </w:r>
      <w:r w:rsidR="00E21D9A">
        <w:rPr>
          <w:rFonts w:ascii="Corbel" w:hAnsi="Corbel" w:cs="Corbel"/>
          <w:color w:val="686868"/>
          <w:spacing w:val="5"/>
        </w:rPr>
        <w:t>6</w:t>
      </w:r>
      <w:r w:rsidRPr="008A6237">
        <w:rPr>
          <w:rFonts w:ascii="Corbel" w:hAnsi="Corbel" w:cs="Corbel"/>
          <w:color w:val="686868"/>
          <w:spacing w:val="5"/>
        </w:rPr>
        <w:t>.</w:t>
      </w:r>
    </w:p>
    <w:p w14:paraId="0F57D58C" w14:textId="77777777" w:rsidR="008A6237" w:rsidRDefault="008A6237" w:rsidP="002816B1">
      <w:pPr>
        <w:pStyle w:val="BasicParagraph"/>
        <w:spacing w:before="120" w:line="312" w:lineRule="auto"/>
        <w:jc w:val="both"/>
        <w:rPr>
          <w:rFonts w:ascii="Corbel" w:hAnsi="Corbel" w:cs="Corbel"/>
          <w:color w:val="686868"/>
          <w:spacing w:val="5"/>
        </w:rPr>
      </w:pPr>
    </w:p>
    <w:p w14:paraId="62902560" w14:textId="799909E4" w:rsidR="00DE781A" w:rsidRDefault="00E21D9A" w:rsidP="002816B1">
      <w:pPr>
        <w:pStyle w:val="BasicParagraph"/>
        <w:spacing w:before="120" w:line="312" w:lineRule="auto"/>
        <w:jc w:val="both"/>
        <w:rPr>
          <w:rFonts w:ascii="Corbel" w:hAnsi="Corbel" w:cs="Corbel"/>
          <w:color w:val="686868"/>
          <w:spacing w:val="5"/>
        </w:rPr>
      </w:pPr>
      <w:r>
        <w:rPr>
          <w:noProof/>
        </w:rPr>
        <w:drawing>
          <wp:inline distT="0" distB="0" distL="0" distR="0" wp14:anchorId="058B52B8" wp14:editId="79962AF3">
            <wp:extent cx="5943600" cy="3393440"/>
            <wp:effectExtent l="0" t="0" r="0"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2640D7" w14:textId="6E2781F6" w:rsidR="00C600BE" w:rsidRPr="00FA78E5" w:rsidRDefault="00DE781A" w:rsidP="00FA78E5">
      <w:pPr>
        <w:pStyle w:val="BasicParagraph"/>
        <w:spacing w:before="120" w:line="312" w:lineRule="auto"/>
        <w:jc w:val="both"/>
        <w:rPr>
          <w:rFonts w:ascii="Corbel" w:hAnsi="Corbel" w:cs="Corbel"/>
          <w:color w:val="767171" w:themeColor="background2" w:themeShade="80"/>
          <w:spacing w:val="5"/>
          <w:sz w:val="18"/>
          <w:szCs w:val="18"/>
        </w:rPr>
      </w:pPr>
      <w:r w:rsidRPr="00F04FAB">
        <w:rPr>
          <w:rFonts w:ascii="Corbel" w:hAnsi="Corbel" w:cs="Corbel"/>
          <w:b/>
          <w:color w:val="686868"/>
          <w:spacing w:val="5"/>
          <w:sz w:val="18"/>
          <w:szCs w:val="18"/>
        </w:rPr>
        <w:t>Figure 4.</w:t>
      </w:r>
      <w:r w:rsidRPr="00F04FAB">
        <w:rPr>
          <w:rFonts w:ascii="Corbel" w:hAnsi="Corbel" w:cs="Corbel"/>
          <w:color w:val="686868"/>
          <w:spacing w:val="5"/>
          <w:sz w:val="18"/>
          <w:szCs w:val="18"/>
        </w:rPr>
        <w:t xml:space="preserve">  </w:t>
      </w:r>
      <w:r w:rsidRPr="00F04FAB">
        <w:rPr>
          <w:rFonts w:ascii="Corbel" w:hAnsi="Corbel"/>
          <w:color w:val="767171" w:themeColor="background2" w:themeShade="80"/>
          <w:sz w:val="18"/>
          <w:szCs w:val="18"/>
        </w:rPr>
        <w:t>Annual Connecticut greenhouse gas emissions</w:t>
      </w:r>
      <w:r w:rsidR="00C375A9" w:rsidRPr="00F04FAB">
        <w:rPr>
          <w:rFonts w:ascii="Corbel" w:hAnsi="Corbel"/>
          <w:color w:val="767171" w:themeColor="background2" w:themeShade="80"/>
          <w:sz w:val="18"/>
          <w:szCs w:val="18"/>
        </w:rPr>
        <w:t xml:space="preserve"> in pounds per capita (left axis) and per current GDP (right axis) from 1990-201</w:t>
      </w:r>
      <w:r w:rsidR="00E21D9A">
        <w:rPr>
          <w:rFonts w:ascii="Corbel" w:hAnsi="Corbel"/>
          <w:color w:val="767171" w:themeColor="background2" w:themeShade="80"/>
          <w:sz w:val="18"/>
          <w:szCs w:val="18"/>
        </w:rPr>
        <w:t>6</w:t>
      </w:r>
      <w:r w:rsidR="00C375A9" w:rsidRPr="00F04FAB">
        <w:rPr>
          <w:rFonts w:ascii="Corbel" w:hAnsi="Corbel"/>
          <w:color w:val="767171" w:themeColor="background2" w:themeShade="80"/>
          <w:sz w:val="18"/>
          <w:szCs w:val="18"/>
        </w:rPr>
        <w:t>.</w:t>
      </w:r>
    </w:p>
    <w:p w14:paraId="2A78AB24" w14:textId="1E8D85D0" w:rsidR="00936794" w:rsidRDefault="00936794" w:rsidP="008A2B31">
      <w:pPr>
        <w:autoSpaceDE w:val="0"/>
        <w:autoSpaceDN w:val="0"/>
        <w:adjustRightInd w:val="0"/>
        <w:spacing w:before="120" w:after="0" w:line="312" w:lineRule="auto"/>
        <w:jc w:val="both"/>
        <w:rPr>
          <w:rFonts w:ascii="Corbel" w:hAnsi="Corbel" w:cs="Corbel"/>
          <w:color w:val="686868"/>
          <w:spacing w:val="5"/>
        </w:rPr>
      </w:pPr>
      <w:commentRangeStart w:id="1"/>
      <w:r>
        <w:rPr>
          <w:rFonts w:ascii="Tahoma" w:hAnsi="Tahoma" w:cs="Tahoma"/>
          <w:b/>
          <w:bCs/>
          <w:color w:val="686868"/>
        </w:rPr>
        <w:t xml:space="preserve">GHG Emission Reduction Strategies Currently Underway </w:t>
      </w:r>
      <w:commentRangeEnd w:id="1"/>
      <w:r w:rsidR="00F00CAA">
        <w:rPr>
          <w:rStyle w:val="CommentReference"/>
        </w:rPr>
        <w:commentReference w:id="1"/>
      </w:r>
    </w:p>
    <w:p w14:paraId="724A402B"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Connecticut is implementing a suite of complementary strategies to ensure that the state is on a course to achieve its near-term 2020 reduction goal. The range of GHG reduction actions include direct regulations, monetary and non-monetary incentives, market-based mechanisms, and recognition for voluntary actions. </w:t>
      </w:r>
    </w:p>
    <w:p w14:paraId="258CA563" w14:textId="1CDAA37E"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The following programs, strategies, and policy initiatives are just a few examples of current efforts driving the state’s emissions down. These initiatives offer a foundational framework to build upon as additional strategies are developed to further reduce emissions beyond 2020.</w:t>
      </w:r>
    </w:p>
    <w:p w14:paraId="1FB192DF" w14:textId="576625A0"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201</w:t>
      </w:r>
      <w:r w:rsidR="00C600BE">
        <w:rPr>
          <w:rFonts w:ascii="Corbel" w:hAnsi="Corbel" w:cs="Corbel"/>
          <w:b/>
          <w:bCs/>
          <w:i/>
          <w:iCs/>
          <w:color w:val="686868"/>
          <w:spacing w:val="5"/>
        </w:rPr>
        <w:t>8</w:t>
      </w:r>
      <w:r>
        <w:rPr>
          <w:rFonts w:ascii="Corbel" w:hAnsi="Corbel" w:cs="Corbel"/>
          <w:b/>
          <w:bCs/>
          <w:i/>
          <w:iCs/>
          <w:color w:val="686868"/>
          <w:spacing w:val="5"/>
        </w:rPr>
        <w:t xml:space="preserve"> Comprehensive Energy Strategy</w:t>
      </w:r>
    </w:p>
    <w:p w14:paraId="7A5C288F" w14:textId="7A9EE459"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Connecticut will need to continue to scale investments that drive down GHG emissions in order to meet the ambitious requirements of the Global Warming Solutions Act, both in the near</w:t>
      </w:r>
      <w:r w:rsidR="00FA78E5">
        <w:rPr>
          <w:rFonts w:ascii="Corbel" w:hAnsi="Corbel" w:cs="Corbel"/>
          <w:color w:val="686868"/>
          <w:spacing w:val="5"/>
        </w:rPr>
        <w:t>- and long-term (2020, 2030, and 2050)</w:t>
      </w:r>
      <w:r>
        <w:rPr>
          <w:rFonts w:ascii="Corbel" w:hAnsi="Corbel" w:cs="Corbel"/>
          <w:color w:val="686868"/>
          <w:spacing w:val="5"/>
        </w:rPr>
        <w:t xml:space="preserve">. The 2016 Comprehensive Energy Strategy will evaluate GHG mitigation options on all of these time horizons, and will emphasize any additional near term strategies that may be needed to ensure compliance with the 2020 goal. </w:t>
      </w:r>
    </w:p>
    <w:p w14:paraId="3C8CF4F4"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Energy Efficiency</w:t>
      </w:r>
      <w:r>
        <w:rPr>
          <w:rFonts w:ascii="Corbel" w:hAnsi="Corbel" w:cs="Corbel"/>
          <w:i/>
          <w:iCs/>
          <w:color w:val="686868"/>
          <w:spacing w:val="5"/>
        </w:rPr>
        <w:t xml:space="preserve"> </w:t>
      </w:r>
    </w:p>
    <w:p w14:paraId="069E09FD"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 xml:space="preserve">The Connecticut Energy Efficiency Fund supports a variety of programs that provide financial incentives to help Connecticut consumers reduce the amount of energy used in their homes and businesses. </w:t>
      </w:r>
      <w:commentRangeStart w:id="2"/>
      <w:r>
        <w:rPr>
          <w:rFonts w:ascii="Corbel" w:hAnsi="Corbel" w:cs="Corbel"/>
          <w:color w:val="686868"/>
          <w:spacing w:val="5"/>
        </w:rPr>
        <w:t>Investment in energy efficiency programs has doubled since 2013, implementing a key recommendation of the 2013 Comprehensive Energy Strategy. At this increased level of investment, expected lifetime GHG reductions from the state’s energy efficiency programs will be 3.2 MMTCO</w:t>
      </w:r>
      <w:r>
        <w:rPr>
          <w:rFonts w:ascii="Corbel" w:hAnsi="Corbel" w:cs="Corbel"/>
          <w:color w:val="686868"/>
          <w:spacing w:val="5"/>
          <w:position w:val="4"/>
          <w:vertAlign w:val="subscript"/>
        </w:rPr>
        <w:t>2</w:t>
      </w:r>
      <w:r>
        <w:rPr>
          <w:rFonts w:ascii="Corbel" w:hAnsi="Corbel" w:cs="Corbel"/>
          <w:color w:val="686868"/>
          <w:spacing w:val="5"/>
        </w:rPr>
        <w:t>e.</w:t>
      </w:r>
      <w:commentRangeEnd w:id="2"/>
      <w:r w:rsidR="00FA78E5">
        <w:rPr>
          <w:rStyle w:val="CommentReference"/>
          <w:rFonts w:asciiTheme="minorHAnsi" w:hAnsiTheme="minorHAnsi" w:cstheme="minorBidi"/>
          <w:color w:val="auto"/>
        </w:rPr>
        <w:commentReference w:id="2"/>
      </w:r>
    </w:p>
    <w:p w14:paraId="77F1DE1D" w14:textId="77777777" w:rsidR="00936794" w:rsidRDefault="00936794" w:rsidP="00936794">
      <w:pPr>
        <w:pStyle w:val="BasicParagraph"/>
        <w:spacing w:before="120" w:line="312" w:lineRule="auto"/>
        <w:jc w:val="both"/>
        <w:rPr>
          <w:rFonts w:ascii="Corbel" w:hAnsi="Corbel" w:cs="Corbel"/>
          <w:b/>
          <w:bCs/>
          <w:i/>
          <w:iCs/>
          <w:color w:val="686868"/>
          <w:spacing w:val="5"/>
        </w:rPr>
      </w:pPr>
      <w:r>
        <w:rPr>
          <w:rFonts w:ascii="Corbel" w:hAnsi="Corbel" w:cs="Corbel"/>
          <w:b/>
          <w:bCs/>
          <w:i/>
          <w:iCs/>
          <w:color w:val="686868"/>
          <w:spacing w:val="5"/>
        </w:rPr>
        <w:t>Connecticut Hydrogen and Electric Automobile Purchase Rebate (CHEAPR)</w:t>
      </w:r>
    </w:p>
    <w:p w14:paraId="14E2E903"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Through the CHEAPR program, DEEP offers rebates of up to $5,000 for Connecticut residents who purchase or lease a new eligible battery electric, plug-in hybrid electric, or fuel cell electric vehicle. In just over a year’s time, these rebates have supported purchases of more than 750 vehicles.</w:t>
      </w:r>
      <w:r>
        <w:rPr>
          <w:rStyle w:val="endnotemarker"/>
          <w:rFonts w:ascii="Corbel" w:hAnsi="Corbel" w:cs="Corbel"/>
          <w:color w:val="686868"/>
          <w:spacing w:val="5"/>
        </w:rPr>
        <w:t>7</w:t>
      </w:r>
      <w:r>
        <w:rPr>
          <w:rFonts w:ascii="Corbel" w:hAnsi="Corbel" w:cs="Corbel"/>
          <w:color w:val="686868"/>
          <w:spacing w:val="5"/>
        </w:rPr>
        <w:t xml:space="preserve"> </w:t>
      </w:r>
    </w:p>
    <w:p w14:paraId="6011CFE9"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Zero Emission Vehicle (ZEV) Memorandum of Understanding</w:t>
      </w:r>
    </w:p>
    <w:p w14:paraId="266203D9"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Connecticut is one of seven states committed to putting 3.3 million ZEVs on the road by 2025. Connecticut is implementing the steps laid out in the Multi-State Action Plan which focuses on developing ZEV infrastructure and supporting policies, codes, and standards to advance the deployment of ZEVs. With the implementation of the revised travel provision, ZEV sales in Connecticut and other New England states are expected to increase beginning in 2017.</w:t>
      </w:r>
      <w:r>
        <w:rPr>
          <w:rFonts w:ascii="Corbel" w:hAnsi="Corbel" w:cs="Corbel"/>
          <w:color w:val="686868"/>
          <w:spacing w:val="5"/>
          <w:vertAlign w:val="superscript"/>
        </w:rPr>
        <w:t>8</w:t>
      </w:r>
    </w:p>
    <w:p w14:paraId="193A6C62"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Renewable Portfolio Standard (RPS)</w:t>
      </w:r>
    </w:p>
    <w:p w14:paraId="715CA931"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The Malloy Administration has embraced the use of open, competitive procurements of renewables and large-scale hydropower through long-term contracts as the best way to secure investment in new clean generation at the least cost to the state’s ratepayers. A new, 20 MW solar facility in Sprague, CT, that was contracted under Section 6 of Public Act 13-303 is expected to come online in January 2017. Currently, DEEP is considering more than 100 bids submitted in two historic RFPs for clean energy projects of different size classes that could be selected for long-term contracts pursuant to Public Acts 13-303 and 15-107. Under those statutes, CT DEEP has the authority to contract for up to 4,250 GWh, or approximately 15% of the state’s electricity demand, from clean energy resources. Bid selections are expected in the fall of 2016, and winning projects must be online by 2020.</w:t>
      </w:r>
    </w:p>
    <w:p w14:paraId="0AD3A27B"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Rooftop Solar Deployment</w:t>
      </w:r>
    </w:p>
    <w:p w14:paraId="740D0EE3"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The Connecticut Green Bank, established in 2011, has pioneered multiple programs to expand the deployment of rooftop solar photovoltaics (PV) in Connecticut, while driving down installed costs and ratepayer incentives. A program goal of installing 30 MW of rooftop solar PV under the Residential Solar Incentive Program was met in 2015, 8 years early. Public Act 15-194 requires the Connecticut Green Bank to offer incentives to support the deployment of 300 MW of residential solar by 2022. The Green Bank is partnering with the state’s electric utilities in the Solar Homes Renewable Energy Credit program to enable purchase of long-term contracts for Renewable Energy Credits produced from a homeowners’ solar system, making solar more accessible and affordable to ratepayers throughout the state.</w:t>
      </w:r>
    </w:p>
    <w:p w14:paraId="3401223C"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Shared Clean Energy Facilities</w:t>
      </w:r>
    </w:p>
    <w:p w14:paraId="0314FD6C" w14:textId="0EB6B060" w:rsidR="00AF27EE" w:rsidRPr="006B46DE" w:rsidRDefault="00936794" w:rsidP="006B46DE">
      <w:pPr>
        <w:pStyle w:val="BasicParagraph"/>
        <w:spacing w:before="40" w:line="312" w:lineRule="auto"/>
        <w:jc w:val="both"/>
        <w:rPr>
          <w:rFonts w:ascii="Corbel" w:hAnsi="Corbel" w:cs="Corbel"/>
          <w:color w:val="686868"/>
          <w:spacing w:val="5"/>
        </w:rPr>
      </w:pPr>
      <w:r>
        <w:rPr>
          <w:rFonts w:ascii="Corbel" w:hAnsi="Corbel" w:cs="Corbel"/>
          <w:color w:val="686868"/>
          <w:spacing w:val="5"/>
        </w:rPr>
        <w:t>Public Act 15-113 requires DEEP to establish a two-year pilot program for shared clean energy facilities, including solar, fuel cells, geothermal, hydroelectric and other renewables. Multiple customers will be able to contract a percentage or set amount of the electricity produced from these facilities. Projects selected in this pilot program must be online by 2019.</w:t>
      </w:r>
      <w:r w:rsidR="00BF022A">
        <w:rPr>
          <w:rFonts w:asciiTheme="minorHAnsi" w:hAnsi="Calibri" w:cstheme="minorBidi"/>
          <w:b/>
          <w:bCs/>
          <w:color w:val="A5A5A5" w:themeColor="accent3"/>
          <w:sz w:val="18"/>
          <w:szCs w:val="18"/>
        </w:rPr>
        <w:t>t</w:t>
      </w:r>
    </w:p>
    <w:sectPr w:rsidR="00AF27EE" w:rsidRPr="006B46DE" w:rsidSect="00936794">
      <w:pgSz w:w="12240" w:h="15840"/>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ri Enright-Kato" w:date="2018-10-25T14:21:00Z" w:initials="KE">
    <w:p w14:paraId="11A84416" w14:textId="51B9DB59" w:rsidR="00FA78E5" w:rsidRDefault="00FA78E5">
      <w:pPr>
        <w:pStyle w:val="CommentText"/>
      </w:pPr>
      <w:r>
        <w:rPr>
          <w:rStyle w:val="CommentReference"/>
        </w:rPr>
        <w:annotationRef/>
      </w:r>
      <w:r>
        <w:t>Need update to update. How should this be written?</w:t>
      </w:r>
    </w:p>
  </w:comment>
  <w:comment w:id="2" w:author="Cary Lynch" w:date="2018-12-03T12:08:00Z" w:initials="CL">
    <w:p w14:paraId="3CAB21C5" w14:textId="59AE71F9" w:rsidR="00FA78E5" w:rsidRDefault="00FA78E5">
      <w:pPr>
        <w:pStyle w:val="CommentText"/>
      </w:pPr>
      <w:r>
        <w:rPr>
          <w:rStyle w:val="CommentReference"/>
        </w:rPr>
        <w:annotationRef/>
      </w:r>
      <w:r>
        <w:t>Need to check these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A84416" w15:done="0"/>
  <w15:commentEx w15:paraId="3CAB21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EF400" w14:textId="77777777" w:rsidR="00FA78E5" w:rsidRDefault="00FA78E5" w:rsidP="00936794">
      <w:pPr>
        <w:spacing w:after="0" w:line="240" w:lineRule="auto"/>
      </w:pPr>
      <w:r>
        <w:separator/>
      </w:r>
    </w:p>
  </w:endnote>
  <w:endnote w:type="continuationSeparator" w:id="0">
    <w:p w14:paraId="5878A392" w14:textId="77777777" w:rsidR="00FA78E5" w:rsidRDefault="00FA78E5" w:rsidP="0093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67013" w14:textId="77777777" w:rsidR="00FA78E5" w:rsidRDefault="00FA78E5" w:rsidP="00936794">
      <w:pPr>
        <w:spacing w:after="0" w:line="240" w:lineRule="auto"/>
      </w:pPr>
      <w:r>
        <w:separator/>
      </w:r>
    </w:p>
  </w:footnote>
  <w:footnote w:type="continuationSeparator" w:id="0">
    <w:p w14:paraId="7D69A55B" w14:textId="77777777" w:rsidR="00FA78E5" w:rsidRDefault="00FA78E5" w:rsidP="00936794">
      <w:pPr>
        <w:spacing w:after="0" w:line="240" w:lineRule="auto"/>
      </w:pPr>
      <w:r>
        <w:continuationSeparator/>
      </w:r>
    </w:p>
  </w:footnote>
  <w:footnote w:id="1">
    <w:p w14:paraId="5B50BDE6" w14:textId="6704477A" w:rsidR="00FA78E5" w:rsidRPr="00420B7D" w:rsidRDefault="00FA78E5" w:rsidP="00936794">
      <w:pPr>
        <w:pStyle w:val="endnote"/>
        <w:rPr>
          <w:sz w:val="20"/>
          <w:szCs w:val="20"/>
        </w:rPr>
      </w:pPr>
      <w:r>
        <w:rPr>
          <w:vertAlign w:val="superscript"/>
        </w:rPr>
        <w:footnoteRef/>
      </w:r>
      <w:r>
        <w:rPr>
          <w:color w:val="686868"/>
          <w:sz w:val="20"/>
          <w:szCs w:val="20"/>
        </w:rPr>
        <w:t xml:space="preserve"> </w:t>
      </w:r>
      <w:r w:rsidRPr="00F04FAB">
        <w:rPr>
          <w:color w:val="686868"/>
          <w:sz w:val="16"/>
          <w:szCs w:val="16"/>
        </w:rPr>
        <w:t>The Department of Energy and Environmental Protection (DEEP) greenhouse gas inventory relies in part on emissions data from U.S. EPA’s State Inventory Tool. EPA released data from January-December 201</w:t>
      </w:r>
      <w:r w:rsidR="005772E4">
        <w:rPr>
          <w:color w:val="686868"/>
          <w:sz w:val="16"/>
          <w:szCs w:val="16"/>
        </w:rPr>
        <w:t>6</w:t>
      </w:r>
      <w:r w:rsidRPr="00F04FAB">
        <w:rPr>
          <w:color w:val="686868"/>
          <w:sz w:val="16"/>
          <w:szCs w:val="16"/>
        </w:rPr>
        <w:t xml:space="preserve"> in</w:t>
      </w:r>
      <w:r w:rsidR="005772E4">
        <w:rPr>
          <w:color w:val="686868"/>
          <w:sz w:val="16"/>
          <w:szCs w:val="16"/>
        </w:rPr>
        <w:t xml:space="preserve"> late</w:t>
      </w:r>
      <w:r w:rsidRPr="00F04FAB">
        <w:rPr>
          <w:color w:val="686868"/>
          <w:sz w:val="16"/>
          <w:szCs w:val="16"/>
        </w:rPr>
        <w:t xml:space="preserve"> </w:t>
      </w:r>
      <w:r w:rsidR="005772E4">
        <w:rPr>
          <w:color w:val="686868"/>
          <w:sz w:val="16"/>
          <w:szCs w:val="16"/>
        </w:rPr>
        <w:t>November 2018</w:t>
      </w:r>
      <w:r w:rsidRPr="00F04FAB">
        <w:rPr>
          <w:color w:val="686868"/>
          <w:sz w:val="16"/>
          <w:szCs w:val="16"/>
        </w:rPr>
        <w:t>.</w:t>
      </w:r>
      <w:r w:rsidRPr="00F04FAB">
        <w:rPr>
          <w:sz w:val="16"/>
          <w:szCs w:val="16"/>
        </w:rPr>
        <w:tab/>
      </w:r>
    </w:p>
  </w:footnote>
  <w:footnote w:id="2">
    <w:p w14:paraId="254C27D6" w14:textId="77777777" w:rsidR="00FA78E5" w:rsidRDefault="00FA78E5">
      <w:pPr>
        <w:pStyle w:val="FootnoteText"/>
        <w:rPr>
          <w:rFonts w:ascii="Minion Pro" w:hAnsi="Minion Pro" w:cs="Minion Pro"/>
          <w:color w:val="686868"/>
          <w:sz w:val="16"/>
          <w:szCs w:val="16"/>
        </w:rPr>
      </w:pPr>
      <w:r w:rsidRPr="00420B7D">
        <w:rPr>
          <w:rFonts w:ascii="Minion Pro" w:hAnsi="Minion Pro" w:cs="Minion Pro"/>
          <w:color w:val="686868"/>
          <w:sz w:val="16"/>
          <w:szCs w:val="16"/>
        </w:rPr>
        <w:footnoteRef/>
      </w:r>
      <w:r w:rsidRPr="00420B7D">
        <w:rPr>
          <w:rFonts w:ascii="Minion Pro" w:hAnsi="Minion Pro" w:cs="Minion Pro"/>
          <w:color w:val="686868"/>
          <w:sz w:val="16"/>
          <w:szCs w:val="16"/>
        </w:rPr>
        <w:t xml:space="preserve"> Public Act 08-98, An Act Concerning Connecticut Global Warming Solutions, </w:t>
      </w:r>
    </w:p>
    <w:p w14:paraId="766E822E" w14:textId="367C0A5E" w:rsidR="00FA78E5" w:rsidRDefault="00F13DB6">
      <w:pPr>
        <w:pStyle w:val="FootnoteText"/>
      </w:pPr>
      <w:hyperlink r:id="rId1" w:history="1">
        <w:r w:rsidR="00FA78E5" w:rsidRPr="00420B7D">
          <w:rPr>
            <w:rStyle w:val="Hyperlink"/>
            <w:rFonts w:ascii="Minion Pro" w:hAnsi="Minion Pro" w:cs="Minion Pro"/>
            <w:sz w:val="16"/>
            <w:szCs w:val="16"/>
          </w:rPr>
          <w:t xml:space="preserve">https://www.cga.ct.gov/2008/ACT/PA/2008PA-00098-R00HB-05600-PA.htm   </w:t>
        </w:r>
      </w:hyperlink>
      <w:r w:rsidR="00FA78E5">
        <w:t xml:space="preserve"> </w:t>
      </w:r>
    </w:p>
  </w:footnote>
  <w:footnote w:id="3">
    <w:p w14:paraId="3BB42965" w14:textId="5C0BB6DB" w:rsidR="00FA78E5" w:rsidRPr="00420B7D" w:rsidRDefault="00FA78E5" w:rsidP="00420B7D">
      <w:pPr>
        <w:autoSpaceDE w:val="0"/>
        <w:autoSpaceDN w:val="0"/>
        <w:adjustRightInd w:val="0"/>
        <w:spacing w:before="120" w:after="0" w:line="312" w:lineRule="auto"/>
        <w:rPr>
          <w:rFonts w:ascii="Minion Pro" w:hAnsi="Minion Pro" w:cs="Minion Pro"/>
          <w:color w:val="686868"/>
          <w:sz w:val="16"/>
          <w:szCs w:val="16"/>
        </w:rPr>
      </w:pPr>
      <w:r w:rsidRPr="00420B7D">
        <w:rPr>
          <w:rFonts w:ascii="Minion Pro" w:hAnsi="Minion Pro" w:cs="Minion Pro"/>
          <w:color w:val="686868"/>
          <w:sz w:val="16"/>
          <w:szCs w:val="16"/>
        </w:rPr>
        <w:footnoteRef/>
      </w:r>
      <w:r w:rsidRPr="00420B7D">
        <w:rPr>
          <w:rFonts w:ascii="Minion Pro" w:hAnsi="Minion Pro" w:cs="Minion Pro"/>
          <w:color w:val="686868"/>
          <w:sz w:val="16"/>
          <w:szCs w:val="16"/>
        </w:rPr>
        <w:t xml:space="preserve"> Public Act 18-82, An Act Concerning Climate change Pla</w:t>
      </w:r>
      <w:r>
        <w:rPr>
          <w:rFonts w:ascii="Minion Pro" w:hAnsi="Minion Pro" w:cs="Minion Pro"/>
          <w:color w:val="686868"/>
          <w:sz w:val="16"/>
          <w:szCs w:val="16"/>
        </w:rPr>
        <w:t xml:space="preserve">nning and Resiliency, </w:t>
      </w:r>
      <w:hyperlink r:id="rId2" w:history="1">
        <w:r w:rsidRPr="00DE5779">
          <w:rPr>
            <w:rStyle w:val="Hyperlink"/>
            <w:rFonts w:ascii="Minion Pro" w:hAnsi="Minion Pro" w:cs="Minion Pro"/>
            <w:sz w:val="16"/>
            <w:szCs w:val="16"/>
          </w:rPr>
          <w:t>https://www.cga.ct.gov/asp/cgabillstatus/cgabillstatus.asp?selBillType=Bill&amp;which_year=2018&amp;bill_num=7</w:t>
        </w:r>
      </w:hyperlink>
      <w:r>
        <w:rPr>
          <w:rFonts w:ascii="Minion Pro" w:hAnsi="Minion Pro" w:cs="Minion Pro"/>
          <w:color w:val="686868"/>
          <w:sz w:val="16"/>
          <w:szCs w:val="16"/>
        </w:rPr>
        <w:t xml:space="preserve"> </w:t>
      </w:r>
    </w:p>
    <w:p w14:paraId="028608CD" w14:textId="6214314C" w:rsidR="00FA78E5" w:rsidRDefault="00FA78E5">
      <w:pPr>
        <w:pStyle w:val="FootnoteText"/>
      </w:pPr>
    </w:p>
  </w:footnote>
  <w:footnote w:id="4">
    <w:p w14:paraId="4391FA9E" w14:textId="77777777" w:rsidR="00FA78E5" w:rsidRPr="00F04FAB" w:rsidRDefault="00FA78E5" w:rsidP="00936794">
      <w:pPr>
        <w:pStyle w:val="endnote"/>
        <w:rPr>
          <w:color w:val="686868"/>
          <w:sz w:val="16"/>
          <w:szCs w:val="16"/>
        </w:rPr>
      </w:pPr>
      <w:r w:rsidRPr="00F04FAB">
        <w:rPr>
          <w:sz w:val="16"/>
          <w:szCs w:val="16"/>
          <w:vertAlign w:val="superscript"/>
        </w:rPr>
        <w:footnoteRef/>
      </w:r>
      <w:r w:rsidRPr="00F04FAB">
        <w:rPr>
          <w:color w:val="686868"/>
          <w:sz w:val="16"/>
          <w:szCs w:val="16"/>
        </w:rPr>
        <w:t xml:space="preserve"> For further explanation of the two methodological approaches, see the 2013 inventory report, http://www.ct.gov/deep/lib/deep/climatechange/2012_ghg_inventory_2015/ct_2013_ghg_inventory.pdf.</w:t>
      </w:r>
    </w:p>
    <w:p w14:paraId="524865F9" w14:textId="77777777" w:rsidR="00FA78E5" w:rsidRPr="00F04FAB" w:rsidRDefault="00FA78E5" w:rsidP="00936794">
      <w:pPr>
        <w:pStyle w:val="endnote"/>
        <w:rPr>
          <w:sz w:val="16"/>
          <w:szCs w:val="16"/>
        </w:rPr>
      </w:pPr>
    </w:p>
  </w:footnote>
  <w:footnote w:id="5">
    <w:p w14:paraId="4287F02E" w14:textId="77777777" w:rsidR="00FA78E5" w:rsidRPr="00F04FAB" w:rsidRDefault="00FA78E5" w:rsidP="00AF27EE">
      <w:pPr>
        <w:pStyle w:val="endnote"/>
        <w:rPr>
          <w:color w:val="686868"/>
          <w:sz w:val="16"/>
          <w:szCs w:val="16"/>
        </w:rPr>
      </w:pPr>
      <w:r w:rsidRPr="00F04FAB">
        <w:rPr>
          <w:sz w:val="16"/>
          <w:szCs w:val="16"/>
          <w:vertAlign w:val="superscript"/>
        </w:rPr>
        <w:footnoteRef/>
      </w:r>
      <w:r w:rsidRPr="00F04FAB">
        <w:rPr>
          <w:color w:val="686868"/>
          <w:sz w:val="16"/>
          <w:szCs w:val="16"/>
        </w:rPr>
        <w:t xml:space="preserve"> Emissions are reported in terms of carbon dioxide equivalence (CO2e). Carbon dioxide is the primary GHG. Emissions of other GHGs are expressed on the basis of their potential to contribute to global warming, relative to carbon dioxide’s potential.</w:t>
      </w:r>
    </w:p>
    <w:p w14:paraId="7415DA64" w14:textId="77777777" w:rsidR="00FA78E5" w:rsidRDefault="00FA78E5" w:rsidP="00AF27EE">
      <w:pPr>
        <w:pStyle w:val="endnote"/>
      </w:pPr>
    </w:p>
  </w:footnote>
  <w:footnote w:id="6">
    <w:p w14:paraId="1D826DE3" w14:textId="77777777" w:rsidR="00FA78E5" w:rsidRPr="00F04FAB" w:rsidRDefault="00FA78E5" w:rsidP="00D11F97">
      <w:pPr>
        <w:pStyle w:val="endnote"/>
        <w:rPr>
          <w:color w:val="686868"/>
          <w:sz w:val="16"/>
          <w:szCs w:val="16"/>
        </w:rPr>
      </w:pPr>
      <w:r w:rsidRPr="00F04FAB">
        <w:rPr>
          <w:sz w:val="16"/>
          <w:szCs w:val="16"/>
          <w:vertAlign w:val="superscript"/>
        </w:rPr>
        <w:footnoteRef/>
      </w:r>
      <w:r w:rsidRPr="00F04FAB">
        <w:rPr>
          <w:color w:val="686868"/>
          <w:sz w:val="16"/>
          <w:szCs w:val="16"/>
        </w:rPr>
        <w:t xml:space="preserve"> The average fuel efficiency of U.S. light-duty vehicles (mpg) (calendar year) have increased 15% between 1990-2015. Bureau of Transportation Statistics.</w:t>
      </w:r>
    </w:p>
    <w:p w14:paraId="2FBE51CE" w14:textId="77777777" w:rsidR="00FA78E5" w:rsidRPr="00F04FAB" w:rsidRDefault="00FA78E5" w:rsidP="00D11F97">
      <w:pPr>
        <w:pStyle w:val="endnote"/>
        <w:rPr>
          <w:sz w:val="16"/>
          <w:szCs w:val="16"/>
        </w:rPr>
      </w:pPr>
    </w:p>
  </w:footnote>
  <w:footnote w:id="7">
    <w:p w14:paraId="33550DBD" w14:textId="06F73D8F" w:rsidR="00FA78E5" w:rsidRPr="00F04FAB" w:rsidRDefault="00FA78E5" w:rsidP="00D11F97">
      <w:pPr>
        <w:pStyle w:val="endnote"/>
        <w:rPr>
          <w:color w:val="686868"/>
          <w:sz w:val="16"/>
          <w:szCs w:val="16"/>
        </w:rPr>
      </w:pPr>
      <w:r w:rsidRPr="00F04FAB">
        <w:rPr>
          <w:sz w:val="16"/>
          <w:szCs w:val="16"/>
          <w:vertAlign w:val="superscript"/>
        </w:rPr>
        <w:footnoteRef/>
      </w:r>
      <w:r w:rsidRPr="00F04FAB">
        <w:rPr>
          <w:color w:val="686868"/>
          <w:sz w:val="16"/>
          <w:szCs w:val="16"/>
        </w:rPr>
        <w:t xml:space="preserve"> Vehicle miles traveled have increased 2</w:t>
      </w:r>
      <w:r>
        <w:rPr>
          <w:color w:val="686868"/>
          <w:sz w:val="16"/>
          <w:szCs w:val="16"/>
        </w:rPr>
        <w:t>2</w:t>
      </w:r>
      <w:r w:rsidRPr="00F04FAB">
        <w:rPr>
          <w:color w:val="686868"/>
          <w:sz w:val="16"/>
          <w:szCs w:val="16"/>
        </w:rPr>
        <w:t>% from 1990-201</w:t>
      </w:r>
      <w:r>
        <w:rPr>
          <w:color w:val="686868"/>
          <w:sz w:val="16"/>
          <w:szCs w:val="16"/>
        </w:rPr>
        <w:t>6</w:t>
      </w:r>
      <w:r w:rsidRPr="00F04FAB">
        <w:rPr>
          <w:color w:val="686868"/>
          <w:sz w:val="16"/>
          <w:szCs w:val="16"/>
        </w:rPr>
        <w:t xml:space="preserve"> in CT. CT Department of Transportation, “Transportation data set 8_22_18.”</w:t>
      </w:r>
    </w:p>
    <w:p w14:paraId="60FCC8D6" w14:textId="77777777" w:rsidR="00FA78E5" w:rsidRDefault="00FA78E5" w:rsidP="00D11F97">
      <w:pPr>
        <w:pStyle w:val="endnote"/>
      </w:pPr>
    </w:p>
  </w:footnote>
  <w:footnote w:id="8">
    <w:p w14:paraId="7EBABF0D" w14:textId="77777777" w:rsidR="00FA78E5" w:rsidRPr="003C64B8" w:rsidRDefault="00FA78E5" w:rsidP="00FA78E5">
      <w:pPr>
        <w:pStyle w:val="FootnoteText"/>
        <w:rPr>
          <w:rFonts w:ascii="Minion Pro 10" w:hAnsi="Minion Pro 10"/>
          <w:color w:val="767171" w:themeColor="background2" w:themeShade="80"/>
        </w:rPr>
      </w:pPr>
      <w:r w:rsidRPr="003C64B8">
        <w:rPr>
          <w:rStyle w:val="FootnoteReference"/>
          <w:rFonts w:ascii="Minion Pro 10" w:hAnsi="Minion Pro 10"/>
          <w:color w:val="767171" w:themeColor="background2" w:themeShade="80"/>
        </w:rPr>
        <w:footnoteRef/>
      </w:r>
      <w:r w:rsidRPr="003C64B8">
        <w:rPr>
          <w:rFonts w:ascii="Minion Pro 10" w:hAnsi="Minion Pro 10"/>
          <w:color w:val="767171" w:themeColor="background2" w:themeShade="80"/>
        </w:rPr>
        <w:t xml:space="preserve"> 2016 ISO New England Electric Generator Air Emissions Report. https://www.iso-ne.com/static-assets/documents/2018/01/2016_emissions_report.pdf</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i Enright-Kato">
    <w15:presenceInfo w15:providerId="AD" w15:userId="S-1-5-21-1668284364-3927605653-1505094145-132929"/>
  </w15:person>
  <w15:person w15:author="Cary Lynch">
    <w15:presenceInfo w15:providerId="AD" w15:userId="S-1-5-21-1668284364-3927605653-1505094145-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94"/>
    <w:rsid w:val="00021B3A"/>
    <w:rsid w:val="00047129"/>
    <w:rsid w:val="00050EF3"/>
    <w:rsid w:val="000A772B"/>
    <w:rsid w:val="000B46BC"/>
    <w:rsid w:val="000E117A"/>
    <w:rsid w:val="001061F9"/>
    <w:rsid w:val="00182437"/>
    <w:rsid w:val="001B6888"/>
    <w:rsid w:val="001C2B91"/>
    <w:rsid w:val="001E232A"/>
    <w:rsid w:val="0020390C"/>
    <w:rsid w:val="00215080"/>
    <w:rsid w:val="00215914"/>
    <w:rsid w:val="00245C68"/>
    <w:rsid w:val="00246B2F"/>
    <w:rsid w:val="002816B1"/>
    <w:rsid w:val="00296887"/>
    <w:rsid w:val="002B4F3C"/>
    <w:rsid w:val="002B6556"/>
    <w:rsid w:val="002B761A"/>
    <w:rsid w:val="002C4283"/>
    <w:rsid w:val="002E25F3"/>
    <w:rsid w:val="002E7216"/>
    <w:rsid w:val="002F3E9D"/>
    <w:rsid w:val="0030546B"/>
    <w:rsid w:val="00325C35"/>
    <w:rsid w:val="003432A6"/>
    <w:rsid w:val="003440FD"/>
    <w:rsid w:val="00395194"/>
    <w:rsid w:val="003A68E3"/>
    <w:rsid w:val="003C64B8"/>
    <w:rsid w:val="003D599F"/>
    <w:rsid w:val="003F2EB5"/>
    <w:rsid w:val="0040540C"/>
    <w:rsid w:val="00420B7D"/>
    <w:rsid w:val="00431FB4"/>
    <w:rsid w:val="00463137"/>
    <w:rsid w:val="004B2678"/>
    <w:rsid w:val="00504DA3"/>
    <w:rsid w:val="00507DBF"/>
    <w:rsid w:val="005772E4"/>
    <w:rsid w:val="0059047B"/>
    <w:rsid w:val="00602F0E"/>
    <w:rsid w:val="006670B9"/>
    <w:rsid w:val="006B46DE"/>
    <w:rsid w:val="006C6B7E"/>
    <w:rsid w:val="00760F61"/>
    <w:rsid w:val="00763FAE"/>
    <w:rsid w:val="00766E2D"/>
    <w:rsid w:val="00773FF7"/>
    <w:rsid w:val="00782DC2"/>
    <w:rsid w:val="007842B9"/>
    <w:rsid w:val="008670F4"/>
    <w:rsid w:val="008A2765"/>
    <w:rsid w:val="008A2B31"/>
    <w:rsid w:val="008A2F1F"/>
    <w:rsid w:val="008A6237"/>
    <w:rsid w:val="008B24C5"/>
    <w:rsid w:val="008C49B7"/>
    <w:rsid w:val="008E050F"/>
    <w:rsid w:val="008E0A40"/>
    <w:rsid w:val="00936642"/>
    <w:rsid w:val="00936794"/>
    <w:rsid w:val="0095016B"/>
    <w:rsid w:val="009C1CBC"/>
    <w:rsid w:val="00A031BB"/>
    <w:rsid w:val="00A34E58"/>
    <w:rsid w:val="00A5281E"/>
    <w:rsid w:val="00A551C5"/>
    <w:rsid w:val="00AF27EE"/>
    <w:rsid w:val="00AF4158"/>
    <w:rsid w:val="00B67F32"/>
    <w:rsid w:val="00B8508C"/>
    <w:rsid w:val="00B91CE4"/>
    <w:rsid w:val="00B93817"/>
    <w:rsid w:val="00BE2741"/>
    <w:rsid w:val="00BE5EAF"/>
    <w:rsid w:val="00BF022A"/>
    <w:rsid w:val="00C375A9"/>
    <w:rsid w:val="00C600BE"/>
    <w:rsid w:val="00CB2EC3"/>
    <w:rsid w:val="00CF5CEE"/>
    <w:rsid w:val="00CF60DD"/>
    <w:rsid w:val="00D044F7"/>
    <w:rsid w:val="00D11F97"/>
    <w:rsid w:val="00D30E8F"/>
    <w:rsid w:val="00D430F4"/>
    <w:rsid w:val="00D84F41"/>
    <w:rsid w:val="00DE781A"/>
    <w:rsid w:val="00E05626"/>
    <w:rsid w:val="00E12C94"/>
    <w:rsid w:val="00E21D9A"/>
    <w:rsid w:val="00E45B1E"/>
    <w:rsid w:val="00EB2DFF"/>
    <w:rsid w:val="00EC7D21"/>
    <w:rsid w:val="00ED0807"/>
    <w:rsid w:val="00EE0774"/>
    <w:rsid w:val="00F00CAA"/>
    <w:rsid w:val="00F04FAB"/>
    <w:rsid w:val="00F13DB6"/>
    <w:rsid w:val="00F22F8D"/>
    <w:rsid w:val="00F30CF5"/>
    <w:rsid w:val="00F31D92"/>
    <w:rsid w:val="00F36BE3"/>
    <w:rsid w:val="00F37CDC"/>
    <w:rsid w:val="00F5431E"/>
    <w:rsid w:val="00FA1424"/>
    <w:rsid w:val="00FA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6CAA"/>
  <w15:chartTrackingRefBased/>
  <w15:docId w15:val="{0F6C5142-DB3E-4292-AE8F-CB2FAD1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936794"/>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ndnote">
    <w:name w:val="endnote"/>
    <w:basedOn w:val="BasicParagraph"/>
    <w:uiPriority w:val="99"/>
    <w:rsid w:val="00936794"/>
  </w:style>
  <w:style w:type="character" w:customStyle="1" w:styleId="endnotemarker">
    <w:name w:val="endnote_marker"/>
    <w:uiPriority w:val="99"/>
    <w:rsid w:val="00936794"/>
    <w:rPr>
      <w:vertAlign w:val="superscript"/>
    </w:rPr>
  </w:style>
  <w:style w:type="paragraph" w:styleId="NormalWeb">
    <w:name w:val="Normal (Web)"/>
    <w:basedOn w:val="Normal"/>
    <w:uiPriority w:val="99"/>
    <w:unhideWhenUsed/>
    <w:rsid w:val="0040540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0540C"/>
    <w:rPr>
      <w:sz w:val="16"/>
      <w:szCs w:val="16"/>
    </w:rPr>
  </w:style>
  <w:style w:type="paragraph" w:styleId="CommentText">
    <w:name w:val="annotation text"/>
    <w:basedOn w:val="Normal"/>
    <w:link w:val="CommentTextChar"/>
    <w:uiPriority w:val="99"/>
    <w:semiHidden/>
    <w:unhideWhenUsed/>
    <w:rsid w:val="0040540C"/>
    <w:pPr>
      <w:spacing w:line="240" w:lineRule="auto"/>
    </w:pPr>
    <w:rPr>
      <w:sz w:val="20"/>
      <w:szCs w:val="20"/>
    </w:rPr>
  </w:style>
  <w:style w:type="character" w:customStyle="1" w:styleId="CommentTextChar">
    <w:name w:val="Comment Text Char"/>
    <w:basedOn w:val="DefaultParagraphFont"/>
    <w:link w:val="CommentText"/>
    <w:uiPriority w:val="99"/>
    <w:semiHidden/>
    <w:rsid w:val="0040540C"/>
    <w:rPr>
      <w:sz w:val="20"/>
      <w:szCs w:val="20"/>
    </w:rPr>
  </w:style>
  <w:style w:type="paragraph" w:styleId="CommentSubject">
    <w:name w:val="annotation subject"/>
    <w:basedOn w:val="CommentText"/>
    <w:next w:val="CommentText"/>
    <w:link w:val="CommentSubjectChar"/>
    <w:uiPriority w:val="99"/>
    <w:semiHidden/>
    <w:unhideWhenUsed/>
    <w:rsid w:val="0040540C"/>
    <w:rPr>
      <w:b/>
      <w:bCs/>
    </w:rPr>
  </w:style>
  <w:style w:type="character" w:customStyle="1" w:styleId="CommentSubjectChar">
    <w:name w:val="Comment Subject Char"/>
    <w:basedOn w:val="CommentTextChar"/>
    <w:link w:val="CommentSubject"/>
    <w:uiPriority w:val="99"/>
    <w:semiHidden/>
    <w:rsid w:val="0040540C"/>
    <w:rPr>
      <w:b/>
      <w:bCs/>
      <w:sz w:val="20"/>
      <w:szCs w:val="20"/>
    </w:rPr>
  </w:style>
  <w:style w:type="paragraph" w:styleId="BalloonText">
    <w:name w:val="Balloon Text"/>
    <w:basedOn w:val="Normal"/>
    <w:link w:val="BalloonTextChar"/>
    <w:uiPriority w:val="99"/>
    <w:semiHidden/>
    <w:unhideWhenUsed/>
    <w:rsid w:val="00405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40C"/>
    <w:rPr>
      <w:rFonts w:ascii="Segoe UI" w:hAnsi="Segoe UI" w:cs="Segoe UI"/>
      <w:sz w:val="18"/>
      <w:szCs w:val="18"/>
    </w:rPr>
  </w:style>
  <w:style w:type="character" w:styleId="Hyperlink">
    <w:name w:val="Hyperlink"/>
    <w:basedOn w:val="DefaultParagraphFont"/>
    <w:uiPriority w:val="99"/>
    <w:unhideWhenUsed/>
    <w:rsid w:val="00182437"/>
    <w:rPr>
      <w:color w:val="0563C1" w:themeColor="hyperlink"/>
      <w:u w:val="single"/>
    </w:rPr>
  </w:style>
  <w:style w:type="paragraph" w:styleId="Header">
    <w:name w:val="header"/>
    <w:basedOn w:val="Normal"/>
    <w:link w:val="HeaderChar"/>
    <w:uiPriority w:val="99"/>
    <w:unhideWhenUsed/>
    <w:rsid w:val="00182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37"/>
  </w:style>
  <w:style w:type="paragraph" w:styleId="Footer">
    <w:name w:val="footer"/>
    <w:basedOn w:val="Normal"/>
    <w:link w:val="FooterChar"/>
    <w:uiPriority w:val="99"/>
    <w:unhideWhenUsed/>
    <w:rsid w:val="00182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37"/>
  </w:style>
  <w:style w:type="paragraph" w:styleId="FootnoteText">
    <w:name w:val="footnote text"/>
    <w:basedOn w:val="Normal"/>
    <w:link w:val="FootnoteTextChar"/>
    <w:uiPriority w:val="99"/>
    <w:semiHidden/>
    <w:unhideWhenUsed/>
    <w:rsid w:val="00BE2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41"/>
    <w:rPr>
      <w:sz w:val="20"/>
      <w:szCs w:val="20"/>
    </w:rPr>
  </w:style>
  <w:style w:type="character" w:styleId="FootnoteReference">
    <w:name w:val="footnote reference"/>
    <w:basedOn w:val="DefaultParagraphFont"/>
    <w:uiPriority w:val="99"/>
    <w:semiHidden/>
    <w:unhideWhenUsed/>
    <w:rsid w:val="00BE27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94711">
      <w:bodyDiv w:val="1"/>
      <w:marLeft w:val="0"/>
      <w:marRight w:val="0"/>
      <w:marTop w:val="0"/>
      <w:marBottom w:val="0"/>
      <w:divBdr>
        <w:top w:val="none" w:sz="0" w:space="0" w:color="auto"/>
        <w:left w:val="none" w:sz="0" w:space="0" w:color="auto"/>
        <w:bottom w:val="none" w:sz="0" w:space="0" w:color="auto"/>
        <w:right w:val="none" w:sz="0" w:space="0" w:color="auto"/>
      </w:divBdr>
    </w:div>
    <w:div w:id="1293944616">
      <w:bodyDiv w:val="1"/>
      <w:marLeft w:val="0"/>
      <w:marRight w:val="0"/>
      <w:marTop w:val="0"/>
      <w:marBottom w:val="0"/>
      <w:divBdr>
        <w:top w:val="none" w:sz="0" w:space="0" w:color="auto"/>
        <w:left w:val="none" w:sz="0" w:space="0" w:color="auto"/>
        <w:bottom w:val="none" w:sz="0" w:space="0" w:color="auto"/>
        <w:right w:val="none" w:sz="0" w:space="0" w:color="auto"/>
      </w:divBdr>
      <w:divsChild>
        <w:div w:id="1141115292">
          <w:marLeft w:val="0"/>
          <w:marRight w:val="0"/>
          <w:marTop w:val="0"/>
          <w:marBottom w:val="0"/>
          <w:divBdr>
            <w:top w:val="none" w:sz="0" w:space="0" w:color="auto"/>
            <w:left w:val="none" w:sz="0" w:space="0" w:color="auto"/>
            <w:bottom w:val="none" w:sz="0" w:space="0" w:color="auto"/>
            <w:right w:val="none" w:sz="0" w:space="0" w:color="auto"/>
          </w:divBdr>
        </w:div>
        <w:div w:id="1071780956">
          <w:marLeft w:val="0"/>
          <w:marRight w:val="0"/>
          <w:marTop w:val="0"/>
          <w:marBottom w:val="0"/>
          <w:divBdr>
            <w:top w:val="none" w:sz="0" w:space="0" w:color="auto"/>
            <w:left w:val="none" w:sz="0" w:space="0" w:color="auto"/>
            <w:bottom w:val="none" w:sz="0" w:space="0" w:color="auto"/>
            <w:right w:val="none" w:sz="0" w:space="0" w:color="auto"/>
          </w:divBdr>
        </w:div>
        <w:div w:id="629479440">
          <w:marLeft w:val="0"/>
          <w:marRight w:val="0"/>
          <w:marTop w:val="0"/>
          <w:marBottom w:val="0"/>
          <w:divBdr>
            <w:top w:val="none" w:sz="0" w:space="0" w:color="auto"/>
            <w:left w:val="none" w:sz="0" w:space="0" w:color="auto"/>
            <w:bottom w:val="none" w:sz="0" w:space="0" w:color="auto"/>
            <w:right w:val="none" w:sz="0" w:space="0" w:color="auto"/>
          </w:divBdr>
        </w:div>
        <w:div w:id="715465945">
          <w:marLeft w:val="0"/>
          <w:marRight w:val="0"/>
          <w:marTop w:val="0"/>
          <w:marBottom w:val="0"/>
          <w:divBdr>
            <w:top w:val="none" w:sz="0" w:space="0" w:color="auto"/>
            <w:left w:val="none" w:sz="0" w:space="0" w:color="auto"/>
            <w:bottom w:val="none" w:sz="0" w:space="0" w:color="auto"/>
            <w:right w:val="none" w:sz="0" w:space="0" w:color="auto"/>
          </w:divBdr>
        </w:div>
        <w:div w:id="781919012">
          <w:marLeft w:val="0"/>
          <w:marRight w:val="0"/>
          <w:marTop w:val="0"/>
          <w:marBottom w:val="0"/>
          <w:divBdr>
            <w:top w:val="none" w:sz="0" w:space="0" w:color="auto"/>
            <w:left w:val="none" w:sz="0" w:space="0" w:color="auto"/>
            <w:bottom w:val="none" w:sz="0" w:space="0" w:color="auto"/>
            <w:right w:val="none" w:sz="0" w:space="0" w:color="auto"/>
          </w:divBdr>
        </w:div>
        <w:div w:id="514729629">
          <w:marLeft w:val="0"/>
          <w:marRight w:val="0"/>
          <w:marTop w:val="0"/>
          <w:marBottom w:val="0"/>
          <w:divBdr>
            <w:top w:val="none" w:sz="0" w:space="0" w:color="auto"/>
            <w:left w:val="none" w:sz="0" w:space="0" w:color="auto"/>
            <w:bottom w:val="none" w:sz="0" w:space="0" w:color="auto"/>
            <w:right w:val="none" w:sz="0" w:space="0" w:color="auto"/>
          </w:divBdr>
        </w:div>
        <w:div w:id="1585646340">
          <w:marLeft w:val="0"/>
          <w:marRight w:val="0"/>
          <w:marTop w:val="0"/>
          <w:marBottom w:val="0"/>
          <w:divBdr>
            <w:top w:val="none" w:sz="0" w:space="0" w:color="auto"/>
            <w:left w:val="none" w:sz="0" w:space="0" w:color="auto"/>
            <w:bottom w:val="none" w:sz="0" w:space="0" w:color="auto"/>
            <w:right w:val="none" w:sz="0" w:space="0" w:color="auto"/>
          </w:divBdr>
        </w:div>
        <w:div w:id="574049056">
          <w:marLeft w:val="0"/>
          <w:marRight w:val="0"/>
          <w:marTop w:val="0"/>
          <w:marBottom w:val="0"/>
          <w:divBdr>
            <w:top w:val="none" w:sz="0" w:space="0" w:color="auto"/>
            <w:left w:val="none" w:sz="0" w:space="0" w:color="auto"/>
            <w:bottom w:val="none" w:sz="0" w:space="0" w:color="auto"/>
            <w:right w:val="none" w:sz="0" w:space="0" w:color="auto"/>
          </w:divBdr>
        </w:div>
        <w:div w:id="654065508">
          <w:marLeft w:val="0"/>
          <w:marRight w:val="0"/>
          <w:marTop w:val="0"/>
          <w:marBottom w:val="0"/>
          <w:divBdr>
            <w:top w:val="none" w:sz="0" w:space="0" w:color="auto"/>
            <w:left w:val="none" w:sz="0" w:space="0" w:color="auto"/>
            <w:bottom w:val="none" w:sz="0" w:space="0" w:color="auto"/>
            <w:right w:val="none" w:sz="0" w:space="0" w:color="auto"/>
          </w:divBdr>
        </w:div>
        <w:div w:id="1769306100">
          <w:marLeft w:val="0"/>
          <w:marRight w:val="0"/>
          <w:marTop w:val="0"/>
          <w:marBottom w:val="0"/>
          <w:divBdr>
            <w:top w:val="none" w:sz="0" w:space="0" w:color="auto"/>
            <w:left w:val="none" w:sz="0" w:space="0" w:color="auto"/>
            <w:bottom w:val="none" w:sz="0" w:space="0" w:color="auto"/>
            <w:right w:val="none" w:sz="0" w:space="0" w:color="auto"/>
          </w:divBdr>
        </w:div>
        <w:div w:id="1878618630">
          <w:marLeft w:val="0"/>
          <w:marRight w:val="0"/>
          <w:marTop w:val="0"/>
          <w:marBottom w:val="0"/>
          <w:divBdr>
            <w:top w:val="none" w:sz="0" w:space="0" w:color="auto"/>
            <w:left w:val="none" w:sz="0" w:space="0" w:color="auto"/>
            <w:bottom w:val="none" w:sz="0" w:space="0" w:color="auto"/>
            <w:right w:val="none" w:sz="0" w:space="0" w:color="auto"/>
          </w:divBdr>
        </w:div>
        <w:div w:id="185991925">
          <w:marLeft w:val="0"/>
          <w:marRight w:val="0"/>
          <w:marTop w:val="0"/>
          <w:marBottom w:val="0"/>
          <w:divBdr>
            <w:top w:val="none" w:sz="0" w:space="0" w:color="auto"/>
            <w:left w:val="none" w:sz="0" w:space="0" w:color="auto"/>
            <w:bottom w:val="none" w:sz="0" w:space="0" w:color="auto"/>
            <w:right w:val="none" w:sz="0" w:space="0" w:color="auto"/>
          </w:divBdr>
        </w:div>
        <w:div w:id="1912420122">
          <w:marLeft w:val="0"/>
          <w:marRight w:val="0"/>
          <w:marTop w:val="0"/>
          <w:marBottom w:val="0"/>
          <w:divBdr>
            <w:top w:val="none" w:sz="0" w:space="0" w:color="auto"/>
            <w:left w:val="none" w:sz="0" w:space="0" w:color="auto"/>
            <w:bottom w:val="none" w:sz="0" w:space="0" w:color="auto"/>
            <w:right w:val="none" w:sz="0" w:space="0" w:color="auto"/>
          </w:divBdr>
        </w:div>
        <w:div w:id="10420329">
          <w:marLeft w:val="0"/>
          <w:marRight w:val="0"/>
          <w:marTop w:val="0"/>
          <w:marBottom w:val="0"/>
          <w:divBdr>
            <w:top w:val="none" w:sz="0" w:space="0" w:color="auto"/>
            <w:left w:val="none" w:sz="0" w:space="0" w:color="auto"/>
            <w:bottom w:val="none" w:sz="0" w:space="0" w:color="auto"/>
            <w:right w:val="none" w:sz="0" w:space="0" w:color="auto"/>
          </w:divBdr>
        </w:div>
        <w:div w:id="1022242972">
          <w:marLeft w:val="0"/>
          <w:marRight w:val="0"/>
          <w:marTop w:val="0"/>
          <w:marBottom w:val="0"/>
          <w:divBdr>
            <w:top w:val="none" w:sz="0" w:space="0" w:color="auto"/>
            <w:left w:val="none" w:sz="0" w:space="0" w:color="auto"/>
            <w:bottom w:val="none" w:sz="0" w:space="0" w:color="auto"/>
            <w:right w:val="none" w:sz="0" w:space="0" w:color="auto"/>
          </w:divBdr>
        </w:div>
        <w:div w:id="1550608043">
          <w:marLeft w:val="0"/>
          <w:marRight w:val="0"/>
          <w:marTop w:val="0"/>
          <w:marBottom w:val="0"/>
          <w:divBdr>
            <w:top w:val="none" w:sz="0" w:space="0" w:color="auto"/>
            <w:left w:val="none" w:sz="0" w:space="0" w:color="auto"/>
            <w:bottom w:val="none" w:sz="0" w:space="0" w:color="auto"/>
            <w:right w:val="none" w:sz="0" w:space="0" w:color="auto"/>
          </w:divBdr>
        </w:div>
        <w:div w:id="1732607227">
          <w:marLeft w:val="0"/>
          <w:marRight w:val="0"/>
          <w:marTop w:val="0"/>
          <w:marBottom w:val="0"/>
          <w:divBdr>
            <w:top w:val="none" w:sz="0" w:space="0" w:color="auto"/>
            <w:left w:val="none" w:sz="0" w:space="0" w:color="auto"/>
            <w:bottom w:val="none" w:sz="0" w:space="0" w:color="auto"/>
            <w:right w:val="none" w:sz="0" w:space="0" w:color="auto"/>
          </w:divBdr>
        </w:div>
        <w:div w:id="1634091514">
          <w:marLeft w:val="0"/>
          <w:marRight w:val="0"/>
          <w:marTop w:val="0"/>
          <w:marBottom w:val="0"/>
          <w:divBdr>
            <w:top w:val="none" w:sz="0" w:space="0" w:color="auto"/>
            <w:left w:val="none" w:sz="0" w:space="0" w:color="auto"/>
            <w:bottom w:val="none" w:sz="0" w:space="0" w:color="auto"/>
            <w:right w:val="none" w:sz="0" w:space="0" w:color="auto"/>
          </w:divBdr>
        </w:div>
        <w:div w:id="772549819">
          <w:marLeft w:val="0"/>
          <w:marRight w:val="0"/>
          <w:marTop w:val="0"/>
          <w:marBottom w:val="0"/>
          <w:divBdr>
            <w:top w:val="none" w:sz="0" w:space="0" w:color="auto"/>
            <w:left w:val="none" w:sz="0" w:space="0" w:color="auto"/>
            <w:bottom w:val="none" w:sz="0" w:space="0" w:color="auto"/>
            <w:right w:val="none" w:sz="0" w:space="0" w:color="auto"/>
          </w:divBdr>
        </w:div>
        <w:div w:id="314840639">
          <w:marLeft w:val="0"/>
          <w:marRight w:val="0"/>
          <w:marTop w:val="0"/>
          <w:marBottom w:val="0"/>
          <w:divBdr>
            <w:top w:val="none" w:sz="0" w:space="0" w:color="auto"/>
            <w:left w:val="none" w:sz="0" w:space="0" w:color="auto"/>
            <w:bottom w:val="none" w:sz="0" w:space="0" w:color="auto"/>
            <w:right w:val="none" w:sz="0" w:space="0" w:color="auto"/>
          </w:divBdr>
        </w:div>
        <w:div w:id="1916547737">
          <w:marLeft w:val="0"/>
          <w:marRight w:val="0"/>
          <w:marTop w:val="0"/>
          <w:marBottom w:val="0"/>
          <w:divBdr>
            <w:top w:val="none" w:sz="0" w:space="0" w:color="auto"/>
            <w:left w:val="none" w:sz="0" w:space="0" w:color="auto"/>
            <w:bottom w:val="none" w:sz="0" w:space="0" w:color="auto"/>
            <w:right w:val="none" w:sz="0" w:space="0" w:color="auto"/>
          </w:divBdr>
        </w:div>
        <w:div w:id="803884831">
          <w:marLeft w:val="0"/>
          <w:marRight w:val="0"/>
          <w:marTop w:val="0"/>
          <w:marBottom w:val="0"/>
          <w:divBdr>
            <w:top w:val="none" w:sz="0" w:space="0" w:color="auto"/>
            <w:left w:val="none" w:sz="0" w:space="0" w:color="auto"/>
            <w:bottom w:val="none" w:sz="0" w:space="0" w:color="auto"/>
            <w:right w:val="none" w:sz="0" w:space="0" w:color="auto"/>
          </w:divBdr>
        </w:div>
        <w:div w:id="1891384529">
          <w:marLeft w:val="0"/>
          <w:marRight w:val="0"/>
          <w:marTop w:val="0"/>
          <w:marBottom w:val="0"/>
          <w:divBdr>
            <w:top w:val="none" w:sz="0" w:space="0" w:color="auto"/>
            <w:left w:val="none" w:sz="0" w:space="0" w:color="auto"/>
            <w:bottom w:val="none" w:sz="0" w:space="0" w:color="auto"/>
            <w:right w:val="none" w:sz="0" w:space="0" w:color="auto"/>
          </w:divBdr>
        </w:div>
        <w:div w:id="1048727949">
          <w:marLeft w:val="0"/>
          <w:marRight w:val="0"/>
          <w:marTop w:val="0"/>
          <w:marBottom w:val="0"/>
          <w:divBdr>
            <w:top w:val="none" w:sz="0" w:space="0" w:color="auto"/>
            <w:left w:val="none" w:sz="0" w:space="0" w:color="auto"/>
            <w:bottom w:val="none" w:sz="0" w:space="0" w:color="auto"/>
            <w:right w:val="none" w:sz="0" w:space="0" w:color="auto"/>
          </w:divBdr>
        </w:div>
        <w:div w:id="825436575">
          <w:marLeft w:val="0"/>
          <w:marRight w:val="0"/>
          <w:marTop w:val="0"/>
          <w:marBottom w:val="0"/>
          <w:divBdr>
            <w:top w:val="none" w:sz="0" w:space="0" w:color="auto"/>
            <w:left w:val="none" w:sz="0" w:space="0" w:color="auto"/>
            <w:bottom w:val="none" w:sz="0" w:space="0" w:color="auto"/>
            <w:right w:val="none" w:sz="0" w:space="0" w:color="auto"/>
          </w:divBdr>
        </w:div>
        <w:div w:id="1413624006">
          <w:marLeft w:val="0"/>
          <w:marRight w:val="0"/>
          <w:marTop w:val="0"/>
          <w:marBottom w:val="0"/>
          <w:divBdr>
            <w:top w:val="none" w:sz="0" w:space="0" w:color="auto"/>
            <w:left w:val="none" w:sz="0" w:space="0" w:color="auto"/>
            <w:bottom w:val="none" w:sz="0" w:space="0" w:color="auto"/>
            <w:right w:val="none" w:sz="0" w:space="0" w:color="auto"/>
          </w:divBdr>
        </w:div>
        <w:div w:id="1109815606">
          <w:marLeft w:val="0"/>
          <w:marRight w:val="0"/>
          <w:marTop w:val="0"/>
          <w:marBottom w:val="0"/>
          <w:divBdr>
            <w:top w:val="none" w:sz="0" w:space="0" w:color="auto"/>
            <w:left w:val="none" w:sz="0" w:space="0" w:color="auto"/>
            <w:bottom w:val="none" w:sz="0" w:space="0" w:color="auto"/>
            <w:right w:val="none" w:sz="0" w:space="0" w:color="auto"/>
          </w:divBdr>
        </w:div>
        <w:div w:id="1284770014">
          <w:marLeft w:val="0"/>
          <w:marRight w:val="0"/>
          <w:marTop w:val="0"/>
          <w:marBottom w:val="0"/>
          <w:divBdr>
            <w:top w:val="none" w:sz="0" w:space="0" w:color="auto"/>
            <w:left w:val="none" w:sz="0" w:space="0" w:color="auto"/>
            <w:bottom w:val="none" w:sz="0" w:space="0" w:color="auto"/>
            <w:right w:val="none" w:sz="0" w:space="0" w:color="auto"/>
          </w:divBdr>
        </w:div>
        <w:div w:id="930503983">
          <w:marLeft w:val="0"/>
          <w:marRight w:val="0"/>
          <w:marTop w:val="0"/>
          <w:marBottom w:val="0"/>
          <w:divBdr>
            <w:top w:val="none" w:sz="0" w:space="0" w:color="auto"/>
            <w:left w:val="none" w:sz="0" w:space="0" w:color="auto"/>
            <w:bottom w:val="none" w:sz="0" w:space="0" w:color="auto"/>
            <w:right w:val="none" w:sz="0" w:space="0" w:color="auto"/>
          </w:divBdr>
        </w:div>
        <w:div w:id="108554318">
          <w:marLeft w:val="0"/>
          <w:marRight w:val="0"/>
          <w:marTop w:val="0"/>
          <w:marBottom w:val="0"/>
          <w:divBdr>
            <w:top w:val="none" w:sz="0" w:space="0" w:color="auto"/>
            <w:left w:val="none" w:sz="0" w:space="0" w:color="auto"/>
            <w:bottom w:val="none" w:sz="0" w:space="0" w:color="auto"/>
            <w:right w:val="none" w:sz="0" w:space="0" w:color="auto"/>
          </w:divBdr>
        </w:div>
        <w:div w:id="541133026">
          <w:marLeft w:val="0"/>
          <w:marRight w:val="0"/>
          <w:marTop w:val="0"/>
          <w:marBottom w:val="0"/>
          <w:divBdr>
            <w:top w:val="none" w:sz="0" w:space="0" w:color="auto"/>
            <w:left w:val="none" w:sz="0" w:space="0" w:color="auto"/>
            <w:bottom w:val="none" w:sz="0" w:space="0" w:color="auto"/>
            <w:right w:val="none" w:sz="0" w:space="0" w:color="auto"/>
          </w:divBdr>
        </w:div>
        <w:div w:id="1037656221">
          <w:marLeft w:val="0"/>
          <w:marRight w:val="0"/>
          <w:marTop w:val="0"/>
          <w:marBottom w:val="0"/>
          <w:divBdr>
            <w:top w:val="none" w:sz="0" w:space="0" w:color="auto"/>
            <w:left w:val="none" w:sz="0" w:space="0" w:color="auto"/>
            <w:bottom w:val="none" w:sz="0" w:space="0" w:color="auto"/>
            <w:right w:val="none" w:sz="0" w:space="0" w:color="auto"/>
          </w:divBdr>
        </w:div>
        <w:div w:id="334771388">
          <w:marLeft w:val="0"/>
          <w:marRight w:val="0"/>
          <w:marTop w:val="0"/>
          <w:marBottom w:val="0"/>
          <w:divBdr>
            <w:top w:val="none" w:sz="0" w:space="0" w:color="auto"/>
            <w:left w:val="none" w:sz="0" w:space="0" w:color="auto"/>
            <w:bottom w:val="none" w:sz="0" w:space="0" w:color="auto"/>
            <w:right w:val="none" w:sz="0" w:space="0" w:color="auto"/>
          </w:divBdr>
        </w:div>
        <w:div w:id="407847798">
          <w:marLeft w:val="0"/>
          <w:marRight w:val="0"/>
          <w:marTop w:val="0"/>
          <w:marBottom w:val="0"/>
          <w:divBdr>
            <w:top w:val="none" w:sz="0" w:space="0" w:color="auto"/>
            <w:left w:val="none" w:sz="0" w:space="0" w:color="auto"/>
            <w:bottom w:val="none" w:sz="0" w:space="0" w:color="auto"/>
            <w:right w:val="none" w:sz="0" w:space="0" w:color="auto"/>
          </w:divBdr>
        </w:div>
        <w:div w:id="444346748">
          <w:marLeft w:val="0"/>
          <w:marRight w:val="0"/>
          <w:marTop w:val="0"/>
          <w:marBottom w:val="0"/>
          <w:divBdr>
            <w:top w:val="none" w:sz="0" w:space="0" w:color="auto"/>
            <w:left w:val="none" w:sz="0" w:space="0" w:color="auto"/>
            <w:bottom w:val="none" w:sz="0" w:space="0" w:color="auto"/>
            <w:right w:val="none" w:sz="0" w:space="0" w:color="auto"/>
          </w:divBdr>
        </w:div>
        <w:div w:id="118569631">
          <w:marLeft w:val="0"/>
          <w:marRight w:val="0"/>
          <w:marTop w:val="0"/>
          <w:marBottom w:val="0"/>
          <w:divBdr>
            <w:top w:val="none" w:sz="0" w:space="0" w:color="auto"/>
            <w:left w:val="none" w:sz="0" w:space="0" w:color="auto"/>
            <w:bottom w:val="none" w:sz="0" w:space="0" w:color="auto"/>
            <w:right w:val="none" w:sz="0" w:space="0" w:color="auto"/>
          </w:divBdr>
        </w:div>
        <w:div w:id="2077506577">
          <w:marLeft w:val="0"/>
          <w:marRight w:val="0"/>
          <w:marTop w:val="0"/>
          <w:marBottom w:val="0"/>
          <w:divBdr>
            <w:top w:val="none" w:sz="0" w:space="0" w:color="auto"/>
            <w:left w:val="none" w:sz="0" w:space="0" w:color="auto"/>
            <w:bottom w:val="none" w:sz="0" w:space="0" w:color="auto"/>
            <w:right w:val="none" w:sz="0" w:space="0" w:color="auto"/>
          </w:divBdr>
        </w:div>
        <w:div w:id="1986736641">
          <w:marLeft w:val="0"/>
          <w:marRight w:val="0"/>
          <w:marTop w:val="0"/>
          <w:marBottom w:val="0"/>
          <w:divBdr>
            <w:top w:val="none" w:sz="0" w:space="0" w:color="auto"/>
            <w:left w:val="none" w:sz="0" w:space="0" w:color="auto"/>
            <w:bottom w:val="none" w:sz="0" w:space="0" w:color="auto"/>
            <w:right w:val="none" w:sz="0" w:space="0" w:color="auto"/>
          </w:divBdr>
        </w:div>
        <w:div w:id="1841582296">
          <w:marLeft w:val="0"/>
          <w:marRight w:val="0"/>
          <w:marTop w:val="0"/>
          <w:marBottom w:val="0"/>
          <w:divBdr>
            <w:top w:val="none" w:sz="0" w:space="0" w:color="auto"/>
            <w:left w:val="none" w:sz="0" w:space="0" w:color="auto"/>
            <w:bottom w:val="none" w:sz="0" w:space="0" w:color="auto"/>
            <w:right w:val="none" w:sz="0" w:space="0" w:color="auto"/>
          </w:divBdr>
        </w:div>
        <w:div w:id="348065865">
          <w:marLeft w:val="0"/>
          <w:marRight w:val="0"/>
          <w:marTop w:val="0"/>
          <w:marBottom w:val="0"/>
          <w:divBdr>
            <w:top w:val="none" w:sz="0" w:space="0" w:color="auto"/>
            <w:left w:val="none" w:sz="0" w:space="0" w:color="auto"/>
            <w:bottom w:val="none" w:sz="0" w:space="0" w:color="auto"/>
            <w:right w:val="none" w:sz="0" w:space="0" w:color="auto"/>
          </w:divBdr>
        </w:div>
        <w:div w:id="1085347348">
          <w:marLeft w:val="0"/>
          <w:marRight w:val="0"/>
          <w:marTop w:val="0"/>
          <w:marBottom w:val="0"/>
          <w:divBdr>
            <w:top w:val="none" w:sz="0" w:space="0" w:color="auto"/>
            <w:left w:val="none" w:sz="0" w:space="0" w:color="auto"/>
            <w:bottom w:val="none" w:sz="0" w:space="0" w:color="auto"/>
            <w:right w:val="none" w:sz="0" w:space="0" w:color="auto"/>
          </w:divBdr>
        </w:div>
        <w:div w:id="127668351">
          <w:marLeft w:val="0"/>
          <w:marRight w:val="0"/>
          <w:marTop w:val="0"/>
          <w:marBottom w:val="0"/>
          <w:divBdr>
            <w:top w:val="none" w:sz="0" w:space="0" w:color="auto"/>
            <w:left w:val="none" w:sz="0" w:space="0" w:color="auto"/>
            <w:bottom w:val="none" w:sz="0" w:space="0" w:color="auto"/>
            <w:right w:val="none" w:sz="0" w:space="0" w:color="auto"/>
          </w:divBdr>
        </w:div>
        <w:div w:id="1774864237">
          <w:marLeft w:val="0"/>
          <w:marRight w:val="0"/>
          <w:marTop w:val="0"/>
          <w:marBottom w:val="0"/>
          <w:divBdr>
            <w:top w:val="none" w:sz="0" w:space="0" w:color="auto"/>
            <w:left w:val="none" w:sz="0" w:space="0" w:color="auto"/>
            <w:bottom w:val="none" w:sz="0" w:space="0" w:color="auto"/>
            <w:right w:val="none" w:sz="0" w:space="0" w:color="auto"/>
          </w:divBdr>
        </w:div>
        <w:div w:id="768088243">
          <w:marLeft w:val="0"/>
          <w:marRight w:val="0"/>
          <w:marTop w:val="0"/>
          <w:marBottom w:val="0"/>
          <w:divBdr>
            <w:top w:val="none" w:sz="0" w:space="0" w:color="auto"/>
            <w:left w:val="none" w:sz="0" w:space="0" w:color="auto"/>
            <w:bottom w:val="none" w:sz="0" w:space="0" w:color="auto"/>
            <w:right w:val="none" w:sz="0" w:space="0" w:color="auto"/>
          </w:divBdr>
        </w:div>
        <w:div w:id="585387713">
          <w:marLeft w:val="0"/>
          <w:marRight w:val="0"/>
          <w:marTop w:val="0"/>
          <w:marBottom w:val="0"/>
          <w:divBdr>
            <w:top w:val="none" w:sz="0" w:space="0" w:color="auto"/>
            <w:left w:val="none" w:sz="0" w:space="0" w:color="auto"/>
            <w:bottom w:val="none" w:sz="0" w:space="0" w:color="auto"/>
            <w:right w:val="none" w:sz="0" w:space="0" w:color="auto"/>
          </w:divBdr>
        </w:div>
        <w:div w:id="1348101607">
          <w:marLeft w:val="0"/>
          <w:marRight w:val="0"/>
          <w:marTop w:val="0"/>
          <w:marBottom w:val="0"/>
          <w:divBdr>
            <w:top w:val="none" w:sz="0" w:space="0" w:color="auto"/>
            <w:left w:val="none" w:sz="0" w:space="0" w:color="auto"/>
            <w:bottom w:val="none" w:sz="0" w:space="0" w:color="auto"/>
            <w:right w:val="none" w:sz="0" w:space="0" w:color="auto"/>
          </w:divBdr>
        </w:div>
        <w:div w:id="4289389">
          <w:marLeft w:val="0"/>
          <w:marRight w:val="0"/>
          <w:marTop w:val="0"/>
          <w:marBottom w:val="0"/>
          <w:divBdr>
            <w:top w:val="none" w:sz="0" w:space="0" w:color="auto"/>
            <w:left w:val="none" w:sz="0" w:space="0" w:color="auto"/>
            <w:bottom w:val="none" w:sz="0" w:space="0" w:color="auto"/>
            <w:right w:val="none" w:sz="0" w:space="0" w:color="auto"/>
          </w:divBdr>
        </w:div>
        <w:div w:id="1484157088">
          <w:marLeft w:val="0"/>
          <w:marRight w:val="0"/>
          <w:marTop w:val="0"/>
          <w:marBottom w:val="0"/>
          <w:divBdr>
            <w:top w:val="none" w:sz="0" w:space="0" w:color="auto"/>
            <w:left w:val="none" w:sz="0" w:space="0" w:color="auto"/>
            <w:bottom w:val="none" w:sz="0" w:space="0" w:color="auto"/>
            <w:right w:val="none" w:sz="0" w:space="0" w:color="auto"/>
          </w:divBdr>
        </w:div>
      </w:divsChild>
    </w:div>
    <w:div w:id="1931817305">
      <w:bodyDiv w:val="1"/>
      <w:marLeft w:val="0"/>
      <w:marRight w:val="0"/>
      <w:marTop w:val="0"/>
      <w:marBottom w:val="0"/>
      <w:divBdr>
        <w:top w:val="none" w:sz="0" w:space="0" w:color="auto"/>
        <w:left w:val="none" w:sz="0" w:space="0" w:color="auto"/>
        <w:bottom w:val="none" w:sz="0" w:space="0" w:color="auto"/>
        <w:right w:val="none" w:sz="0" w:space="0" w:color="auto"/>
      </w:divBdr>
    </w:div>
    <w:div w:id="2017804386">
      <w:bodyDiv w:val="1"/>
      <w:marLeft w:val="0"/>
      <w:marRight w:val="0"/>
      <w:marTop w:val="0"/>
      <w:marBottom w:val="0"/>
      <w:divBdr>
        <w:top w:val="none" w:sz="0" w:space="0" w:color="auto"/>
        <w:left w:val="none" w:sz="0" w:space="0" w:color="auto"/>
        <w:bottom w:val="none" w:sz="0" w:space="0" w:color="auto"/>
        <w:right w:val="none" w:sz="0" w:space="0" w:color="auto"/>
      </w:divBdr>
      <w:divsChild>
        <w:div w:id="2025865656">
          <w:marLeft w:val="0"/>
          <w:marRight w:val="0"/>
          <w:marTop w:val="0"/>
          <w:marBottom w:val="0"/>
          <w:divBdr>
            <w:top w:val="none" w:sz="0" w:space="0" w:color="auto"/>
            <w:left w:val="none" w:sz="0" w:space="0" w:color="auto"/>
            <w:bottom w:val="none" w:sz="0" w:space="0" w:color="auto"/>
            <w:right w:val="none" w:sz="0" w:space="0" w:color="auto"/>
          </w:divBdr>
        </w:div>
        <w:div w:id="1187905674">
          <w:marLeft w:val="0"/>
          <w:marRight w:val="0"/>
          <w:marTop w:val="0"/>
          <w:marBottom w:val="0"/>
          <w:divBdr>
            <w:top w:val="none" w:sz="0" w:space="0" w:color="auto"/>
            <w:left w:val="none" w:sz="0" w:space="0" w:color="auto"/>
            <w:bottom w:val="none" w:sz="0" w:space="0" w:color="auto"/>
            <w:right w:val="none" w:sz="0" w:space="0" w:color="auto"/>
          </w:divBdr>
        </w:div>
        <w:div w:id="662046732">
          <w:marLeft w:val="0"/>
          <w:marRight w:val="0"/>
          <w:marTop w:val="0"/>
          <w:marBottom w:val="0"/>
          <w:divBdr>
            <w:top w:val="none" w:sz="0" w:space="0" w:color="auto"/>
            <w:left w:val="none" w:sz="0" w:space="0" w:color="auto"/>
            <w:bottom w:val="none" w:sz="0" w:space="0" w:color="auto"/>
            <w:right w:val="none" w:sz="0" w:space="0" w:color="auto"/>
          </w:divBdr>
        </w:div>
        <w:div w:id="1023245709">
          <w:marLeft w:val="0"/>
          <w:marRight w:val="0"/>
          <w:marTop w:val="0"/>
          <w:marBottom w:val="0"/>
          <w:divBdr>
            <w:top w:val="none" w:sz="0" w:space="0" w:color="auto"/>
            <w:left w:val="none" w:sz="0" w:space="0" w:color="auto"/>
            <w:bottom w:val="none" w:sz="0" w:space="0" w:color="auto"/>
            <w:right w:val="none" w:sz="0" w:space="0" w:color="auto"/>
          </w:divBdr>
        </w:div>
        <w:div w:id="1084257569">
          <w:marLeft w:val="0"/>
          <w:marRight w:val="0"/>
          <w:marTop w:val="0"/>
          <w:marBottom w:val="0"/>
          <w:divBdr>
            <w:top w:val="none" w:sz="0" w:space="0" w:color="auto"/>
            <w:left w:val="none" w:sz="0" w:space="0" w:color="auto"/>
            <w:bottom w:val="none" w:sz="0" w:space="0" w:color="auto"/>
            <w:right w:val="none" w:sz="0" w:space="0" w:color="auto"/>
          </w:divBdr>
        </w:div>
        <w:div w:id="802885853">
          <w:marLeft w:val="0"/>
          <w:marRight w:val="0"/>
          <w:marTop w:val="0"/>
          <w:marBottom w:val="0"/>
          <w:divBdr>
            <w:top w:val="none" w:sz="0" w:space="0" w:color="auto"/>
            <w:left w:val="none" w:sz="0" w:space="0" w:color="auto"/>
            <w:bottom w:val="none" w:sz="0" w:space="0" w:color="auto"/>
            <w:right w:val="none" w:sz="0" w:space="0" w:color="auto"/>
          </w:divBdr>
        </w:div>
        <w:div w:id="1995641364">
          <w:marLeft w:val="0"/>
          <w:marRight w:val="0"/>
          <w:marTop w:val="0"/>
          <w:marBottom w:val="0"/>
          <w:divBdr>
            <w:top w:val="none" w:sz="0" w:space="0" w:color="auto"/>
            <w:left w:val="none" w:sz="0" w:space="0" w:color="auto"/>
            <w:bottom w:val="none" w:sz="0" w:space="0" w:color="auto"/>
            <w:right w:val="none" w:sz="0" w:space="0" w:color="auto"/>
          </w:divBdr>
        </w:div>
        <w:div w:id="541400807">
          <w:marLeft w:val="0"/>
          <w:marRight w:val="0"/>
          <w:marTop w:val="0"/>
          <w:marBottom w:val="0"/>
          <w:divBdr>
            <w:top w:val="none" w:sz="0" w:space="0" w:color="auto"/>
            <w:left w:val="none" w:sz="0" w:space="0" w:color="auto"/>
            <w:bottom w:val="none" w:sz="0" w:space="0" w:color="auto"/>
            <w:right w:val="none" w:sz="0" w:space="0" w:color="auto"/>
          </w:divBdr>
        </w:div>
        <w:div w:id="467286403">
          <w:marLeft w:val="0"/>
          <w:marRight w:val="0"/>
          <w:marTop w:val="0"/>
          <w:marBottom w:val="0"/>
          <w:divBdr>
            <w:top w:val="none" w:sz="0" w:space="0" w:color="auto"/>
            <w:left w:val="none" w:sz="0" w:space="0" w:color="auto"/>
            <w:bottom w:val="none" w:sz="0" w:space="0" w:color="auto"/>
            <w:right w:val="none" w:sz="0" w:space="0" w:color="auto"/>
          </w:divBdr>
        </w:div>
        <w:div w:id="1794245487">
          <w:marLeft w:val="0"/>
          <w:marRight w:val="0"/>
          <w:marTop w:val="0"/>
          <w:marBottom w:val="0"/>
          <w:divBdr>
            <w:top w:val="none" w:sz="0" w:space="0" w:color="auto"/>
            <w:left w:val="none" w:sz="0" w:space="0" w:color="auto"/>
            <w:bottom w:val="none" w:sz="0" w:space="0" w:color="auto"/>
            <w:right w:val="none" w:sz="0" w:space="0" w:color="auto"/>
          </w:divBdr>
        </w:div>
        <w:div w:id="1201937232">
          <w:marLeft w:val="0"/>
          <w:marRight w:val="0"/>
          <w:marTop w:val="0"/>
          <w:marBottom w:val="0"/>
          <w:divBdr>
            <w:top w:val="none" w:sz="0" w:space="0" w:color="auto"/>
            <w:left w:val="none" w:sz="0" w:space="0" w:color="auto"/>
            <w:bottom w:val="none" w:sz="0" w:space="0" w:color="auto"/>
            <w:right w:val="none" w:sz="0" w:space="0" w:color="auto"/>
          </w:divBdr>
        </w:div>
        <w:div w:id="162831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cga.ct.gov/asp/cgabillstatus/cgabillstatus.asp?selBillType=Bill&amp;which_year=2018&amp;bill_num=7" TargetMode="External"/><Relationship Id="rId1" Type="http://schemas.openxmlformats.org/officeDocument/2006/relationships/hyperlink" Target="https://www.cga.ct.gov/2008/ACT/PA/2008PA-00098-R00HB-05600-PA.htm"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eep\public\NewBritainShared\BETP\OFFICE_OF_CLIMATE_CHANGE\GHG%20Inventory\2016\Data\2016_GHG_Inventory_Analysis_CL_check.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eep\public\NewBritainShared\BETP\OFFICE_OF_CLIMATE_CHANGE\GHG%20Inventory\2016\Data\2016_GHG_Inventory_Analysis_CL_check.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3" Type="http://schemas.openxmlformats.org/officeDocument/2006/relationships/oleObject" Target="file:///\\10.18.8.65\RedirectedFolders$\LynchCary\Downloads\plots-gh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70267178141194"/>
          <c:y val="8.6994992865824655E-2"/>
          <c:w val="0.83966283060771252"/>
          <c:h val="0.72032249114833802"/>
        </c:manualLayout>
      </c:layout>
      <c:lineChart>
        <c:grouping val="standard"/>
        <c:varyColors val="0"/>
        <c:ser>
          <c:idx val="3"/>
          <c:order val="0"/>
          <c:spPr>
            <a:ln w="25400">
              <a:solidFill>
                <a:schemeClr val="accent6">
                  <a:lumMod val="50000"/>
                </a:schemeClr>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TOTAL!$B$24:$AB$24</c:f>
              <c:numCache>
                <c:formatCode>0.0</c:formatCode>
                <c:ptCount val="27"/>
                <c:pt idx="0">
                  <c:v>45.39816279135033</c:v>
                </c:pt>
                <c:pt idx="1">
                  <c:v>44.839323958384242</c:v>
                </c:pt>
                <c:pt idx="2">
                  <c:v>45.248658686250693</c:v>
                </c:pt>
                <c:pt idx="3">
                  <c:v>43.264419848962632</c:v>
                </c:pt>
                <c:pt idx="4">
                  <c:v>42.88848464445018</c:v>
                </c:pt>
                <c:pt idx="5">
                  <c:v>42.814676637701986</c:v>
                </c:pt>
                <c:pt idx="6">
                  <c:v>46.107913301809262</c:v>
                </c:pt>
                <c:pt idx="7">
                  <c:v>49.939974690060808</c:v>
                </c:pt>
                <c:pt idx="8">
                  <c:v>47.428493335091659</c:v>
                </c:pt>
                <c:pt idx="9">
                  <c:v>48.727663407135211</c:v>
                </c:pt>
                <c:pt idx="10">
                  <c:v>50.041715633597448</c:v>
                </c:pt>
                <c:pt idx="11">
                  <c:v>48.29385098662511</c:v>
                </c:pt>
                <c:pt idx="12">
                  <c:v>46.746970839589117</c:v>
                </c:pt>
                <c:pt idx="13">
                  <c:v>49.839285678890981</c:v>
                </c:pt>
                <c:pt idx="14">
                  <c:v>52.044492583407852</c:v>
                </c:pt>
                <c:pt idx="15">
                  <c:v>51.22829615970592</c:v>
                </c:pt>
                <c:pt idx="16">
                  <c:v>47.96059039034624</c:v>
                </c:pt>
                <c:pt idx="17">
                  <c:v>47.126235033668969</c:v>
                </c:pt>
                <c:pt idx="18">
                  <c:v>44.677350475080246</c:v>
                </c:pt>
                <c:pt idx="19">
                  <c:v>42.037096350838105</c:v>
                </c:pt>
                <c:pt idx="20">
                  <c:v>42.485997772699726</c:v>
                </c:pt>
                <c:pt idx="21">
                  <c:v>41.119251267021831</c:v>
                </c:pt>
                <c:pt idx="22">
                  <c:v>40.471409373183441</c:v>
                </c:pt>
                <c:pt idx="23">
                  <c:v>41.433123070587314</c:v>
                </c:pt>
                <c:pt idx="24">
                  <c:v>40.973390697268741</c:v>
                </c:pt>
                <c:pt idx="25">
                  <c:v>42.65307039038985</c:v>
                </c:pt>
                <c:pt idx="26">
                  <c:v>40.417240126507764</c:v>
                </c:pt>
              </c:numCache>
            </c:numRef>
          </c:val>
          <c:smooth val="0"/>
        </c:ser>
        <c:ser>
          <c:idx val="1"/>
          <c:order val="1"/>
          <c:tx>
            <c:v>2020 Goal</c:v>
          </c:tx>
          <c:spPr>
            <a:ln w="12700">
              <a:solidFill>
                <a:schemeClr val="tx1"/>
              </a:solidFill>
              <a:prstDash val="lgDash"/>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TOTAL!$B$31:$AB$31</c:f>
              <c:numCache>
                <c:formatCode>0.0</c:formatCode>
                <c:ptCount val="27"/>
                <c:pt idx="0">
                  <c:v>40.858346512215299</c:v>
                </c:pt>
                <c:pt idx="1">
                  <c:v>40.858346512215299</c:v>
                </c:pt>
                <c:pt idx="2">
                  <c:v>40.858346512215299</c:v>
                </c:pt>
                <c:pt idx="3">
                  <c:v>40.858346512215299</c:v>
                </c:pt>
                <c:pt idx="4">
                  <c:v>40.858346512215299</c:v>
                </c:pt>
                <c:pt idx="5">
                  <c:v>40.858346512215299</c:v>
                </c:pt>
                <c:pt idx="6">
                  <c:v>40.858346512215299</c:v>
                </c:pt>
                <c:pt idx="7">
                  <c:v>40.858346512215299</c:v>
                </c:pt>
                <c:pt idx="8">
                  <c:v>40.858346512215299</c:v>
                </c:pt>
                <c:pt idx="9">
                  <c:v>40.858346512215299</c:v>
                </c:pt>
                <c:pt idx="10">
                  <c:v>40.858346512215299</c:v>
                </c:pt>
                <c:pt idx="11">
                  <c:v>40.858346512215299</c:v>
                </c:pt>
                <c:pt idx="12">
                  <c:v>40.858346512215299</c:v>
                </c:pt>
                <c:pt idx="13">
                  <c:v>40.858346512215299</c:v>
                </c:pt>
                <c:pt idx="14">
                  <c:v>40.858346512215299</c:v>
                </c:pt>
                <c:pt idx="15">
                  <c:v>40.858346512215299</c:v>
                </c:pt>
                <c:pt idx="16">
                  <c:v>40.858346512215299</c:v>
                </c:pt>
                <c:pt idx="17">
                  <c:v>40.858346512215299</c:v>
                </c:pt>
                <c:pt idx="18">
                  <c:v>40.858346512215299</c:v>
                </c:pt>
                <c:pt idx="19">
                  <c:v>40.858346512215299</c:v>
                </c:pt>
                <c:pt idx="20">
                  <c:v>40.858346512215299</c:v>
                </c:pt>
                <c:pt idx="21">
                  <c:v>40.858346512215299</c:v>
                </c:pt>
                <c:pt idx="22">
                  <c:v>40.858346512215299</c:v>
                </c:pt>
                <c:pt idx="23">
                  <c:v>40.858346512215299</c:v>
                </c:pt>
                <c:pt idx="24">
                  <c:v>40.858346512215299</c:v>
                </c:pt>
                <c:pt idx="25">
                  <c:v>40.858346512215299</c:v>
                </c:pt>
                <c:pt idx="26">
                  <c:v>40.858346512215299</c:v>
                </c:pt>
              </c:numCache>
            </c:numRef>
          </c:val>
          <c:smooth val="0"/>
        </c:ser>
        <c:ser>
          <c:idx val="2"/>
          <c:order val="2"/>
          <c:tx>
            <c:v>2050 Target</c:v>
          </c:tx>
          <c:spPr>
            <a:ln w="12700">
              <a:prstDash val="lgDash"/>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TOTAL!$B$32:$AB$32</c:f>
              <c:numCache>
                <c:formatCode>0.0</c:formatCode>
                <c:ptCount val="27"/>
                <c:pt idx="0">
                  <c:v>9.0796325582700668</c:v>
                </c:pt>
                <c:pt idx="1">
                  <c:v>9.0796325582700668</c:v>
                </c:pt>
                <c:pt idx="2">
                  <c:v>9.0796325582700668</c:v>
                </c:pt>
                <c:pt idx="3">
                  <c:v>9.0497317372501396</c:v>
                </c:pt>
                <c:pt idx="4">
                  <c:v>9.0497317372501396</c:v>
                </c:pt>
                <c:pt idx="5">
                  <c:v>9.0497317372501396</c:v>
                </c:pt>
                <c:pt idx="6">
                  <c:v>9.0497317372501396</c:v>
                </c:pt>
                <c:pt idx="7">
                  <c:v>9.0497317372501396</c:v>
                </c:pt>
                <c:pt idx="8">
                  <c:v>9.0497317372501396</c:v>
                </c:pt>
                <c:pt idx="9">
                  <c:v>9.0497317372501396</c:v>
                </c:pt>
                <c:pt idx="10">
                  <c:v>9.0497317372501396</c:v>
                </c:pt>
                <c:pt idx="11">
                  <c:v>9.0497317372501396</c:v>
                </c:pt>
                <c:pt idx="12">
                  <c:v>9.0497317372501396</c:v>
                </c:pt>
                <c:pt idx="13">
                  <c:v>9.0497317372501396</c:v>
                </c:pt>
                <c:pt idx="14">
                  <c:v>9.0497317372501396</c:v>
                </c:pt>
                <c:pt idx="15">
                  <c:v>9.0497317372501396</c:v>
                </c:pt>
                <c:pt idx="16">
                  <c:v>9.0497317372501396</c:v>
                </c:pt>
                <c:pt idx="17">
                  <c:v>9.0497317372501396</c:v>
                </c:pt>
                <c:pt idx="18">
                  <c:v>9.0497317372501396</c:v>
                </c:pt>
                <c:pt idx="19">
                  <c:v>9.0497317372501396</c:v>
                </c:pt>
                <c:pt idx="20">
                  <c:v>9.0497317372501396</c:v>
                </c:pt>
                <c:pt idx="21">
                  <c:v>9.0497317372501396</c:v>
                </c:pt>
                <c:pt idx="22">
                  <c:v>9.0497317372501396</c:v>
                </c:pt>
                <c:pt idx="23">
                  <c:v>9.0497317372501396</c:v>
                </c:pt>
                <c:pt idx="24">
                  <c:v>9.0497317372501396</c:v>
                </c:pt>
                <c:pt idx="25">
                  <c:v>9.0497317372501396</c:v>
                </c:pt>
                <c:pt idx="26">
                  <c:v>9.0497317372501396</c:v>
                </c:pt>
              </c:numCache>
            </c:numRef>
          </c:val>
          <c:smooth val="0"/>
        </c:ser>
        <c:ser>
          <c:idx val="4"/>
          <c:order val="3"/>
          <c:spPr>
            <a:ln w="25400">
              <a:solidFill>
                <a:schemeClr val="accent5"/>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TOTAL!$B$23:$AB$23</c:f>
              <c:numCache>
                <c:formatCode>0.0</c:formatCode>
                <c:ptCount val="27"/>
                <c:pt idx="0">
                  <c:v>45.181047484315606</c:v>
                </c:pt>
                <c:pt idx="1">
                  <c:v>45.079260759448594</c:v>
                </c:pt>
                <c:pt idx="2">
                  <c:v>46.759577724932356</c:v>
                </c:pt>
                <c:pt idx="3">
                  <c:v>44.842523106678343</c:v>
                </c:pt>
                <c:pt idx="4">
                  <c:v>44.77099157583077</c:v>
                </c:pt>
                <c:pt idx="5">
                  <c:v>43.39800080370884</c:v>
                </c:pt>
                <c:pt idx="6">
                  <c:v>45.531547149181009</c:v>
                </c:pt>
                <c:pt idx="7">
                  <c:v>48.634531698906081</c:v>
                </c:pt>
                <c:pt idx="8">
                  <c:v>47.029123899015254</c:v>
                </c:pt>
                <c:pt idx="9">
                  <c:v>48.791074487603169</c:v>
                </c:pt>
                <c:pt idx="10">
                  <c:v>49.373615936284722</c:v>
                </c:pt>
                <c:pt idx="11">
                  <c:v>49.221076255611955</c:v>
                </c:pt>
                <c:pt idx="12">
                  <c:v>48.351464879008525</c:v>
                </c:pt>
                <c:pt idx="13">
                  <c:v>52.545663163726708</c:v>
                </c:pt>
                <c:pt idx="14">
                  <c:v>53.853961370720562</c:v>
                </c:pt>
                <c:pt idx="15">
                  <c:v>52.225096432916139</c:v>
                </c:pt>
                <c:pt idx="16">
                  <c:v>47.874909772461749</c:v>
                </c:pt>
                <c:pt idx="17">
                  <c:v>47.949748536345645</c:v>
                </c:pt>
                <c:pt idx="18">
                  <c:v>45.309696088829725</c:v>
                </c:pt>
                <c:pt idx="19">
                  <c:v>45.448544041335147</c:v>
                </c:pt>
                <c:pt idx="20">
                  <c:v>45.249600962609307</c:v>
                </c:pt>
                <c:pt idx="21">
                  <c:v>43.398078182811751</c:v>
                </c:pt>
                <c:pt idx="22">
                  <c:v>41.129610134799343</c:v>
                </c:pt>
                <c:pt idx="23">
                  <c:v>42.189826011360104</c:v>
                </c:pt>
                <c:pt idx="24">
                  <c:v>42.828020700137877</c:v>
                </c:pt>
                <c:pt idx="25">
                  <c:v>43.798477931014304</c:v>
                </c:pt>
                <c:pt idx="26">
                  <c:v>41.13168457757741</c:v>
                </c:pt>
              </c:numCache>
            </c:numRef>
          </c:val>
          <c:smooth val="0"/>
        </c:ser>
        <c:ser>
          <c:idx val="5"/>
          <c:order val="4"/>
          <c:tx>
            <c:v>2030 Target</c:v>
          </c:tx>
          <c:spPr>
            <a:ln w="12700">
              <a:solidFill>
                <a:schemeClr val="tx1">
                  <a:lumMod val="50000"/>
                  <a:lumOff val="50000"/>
                </a:schemeClr>
              </a:solidFill>
              <a:prstDash val="lgDash"/>
            </a:ln>
          </c:spPr>
          <c:marker>
            <c:symbol val="none"/>
          </c:marker>
          <c:val>
            <c:numRef>
              <c:f>TOTAL!$B$28:$AB$28</c:f>
              <c:numCache>
                <c:formatCode>0.0</c:formatCode>
                <c:ptCount val="27"/>
                <c:pt idx="0">
                  <c:v>27.071591940586579</c:v>
                </c:pt>
                <c:pt idx="1">
                  <c:v>27.071591940586579</c:v>
                </c:pt>
                <c:pt idx="2">
                  <c:v>27.071591940586579</c:v>
                </c:pt>
                <c:pt idx="3">
                  <c:v>27.071591940586579</c:v>
                </c:pt>
                <c:pt idx="4">
                  <c:v>27.071591940586579</c:v>
                </c:pt>
                <c:pt idx="5">
                  <c:v>27.071591940586579</c:v>
                </c:pt>
                <c:pt idx="6">
                  <c:v>27.071591940586579</c:v>
                </c:pt>
                <c:pt idx="7">
                  <c:v>27.071591940586579</c:v>
                </c:pt>
                <c:pt idx="8">
                  <c:v>27.071591940586579</c:v>
                </c:pt>
                <c:pt idx="9">
                  <c:v>27.071591940586579</c:v>
                </c:pt>
                <c:pt idx="10">
                  <c:v>27.071591940586579</c:v>
                </c:pt>
                <c:pt idx="11">
                  <c:v>27.071591940586579</c:v>
                </c:pt>
                <c:pt idx="12">
                  <c:v>27.071591940586579</c:v>
                </c:pt>
                <c:pt idx="13">
                  <c:v>27.071591940586579</c:v>
                </c:pt>
                <c:pt idx="14">
                  <c:v>27.071591940586579</c:v>
                </c:pt>
                <c:pt idx="15">
                  <c:v>27.071591940586579</c:v>
                </c:pt>
                <c:pt idx="16">
                  <c:v>27.071591940586579</c:v>
                </c:pt>
                <c:pt idx="17">
                  <c:v>27.071591940586579</c:v>
                </c:pt>
                <c:pt idx="18">
                  <c:v>27.071591940586579</c:v>
                </c:pt>
                <c:pt idx="19">
                  <c:v>27.071591940586579</c:v>
                </c:pt>
                <c:pt idx="20">
                  <c:v>27.071591940586579</c:v>
                </c:pt>
                <c:pt idx="21">
                  <c:v>27.071591940586579</c:v>
                </c:pt>
                <c:pt idx="22">
                  <c:v>27.071591940586579</c:v>
                </c:pt>
                <c:pt idx="23">
                  <c:v>27.071591940586579</c:v>
                </c:pt>
                <c:pt idx="24">
                  <c:v>27.071591940586579</c:v>
                </c:pt>
                <c:pt idx="25">
                  <c:v>27.071591940586579</c:v>
                </c:pt>
                <c:pt idx="26">
                  <c:v>27.071591940586579</c:v>
                </c:pt>
              </c:numCache>
            </c:numRef>
          </c:val>
          <c:smooth val="0"/>
        </c:ser>
        <c:dLbls>
          <c:showLegendKey val="0"/>
          <c:showVal val="0"/>
          <c:showCatName val="0"/>
          <c:showSerName val="0"/>
          <c:showPercent val="0"/>
          <c:showBubbleSize val="0"/>
        </c:dLbls>
        <c:smooth val="0"/>
        <c:axId val="354225400"/>
        <c:axId val="354225792"/>
        <c:extLst/>
      </c:lineChart>
      <c:catAx>
        <c:axId val="354225400"/>
        <c:scaling>
          <c:orientation val="minMax"/>
        </c:scaling>
        <c:delete val="0"/>
        <c:axPos val="b"/>
        <c:numFmt formatCode="General" sourceLinked="1"/>
        <c:majorTickMark val="cross"/>
        <c:minorTickMark val="none"/>
        <c:tickLblPos val="nextTo"/>
        <c:txPr>
          <a:bodyPr rot="0"/>
          <a:lstStyle/>
          <a:p>
            <a:pPr>
              <a:defRPr/>
            </a:pPr>
            <a:endParaRPr lang="en-US"/>
          </a:p>
        </c:txPr>
        <c:crossAx val="354225792"/>
        <c:crosses val="autoZero"/>
        <c:auto val="1"/>
        <c:lblAlgn val="ctr"/>
        <c:lblOffset val="50"/>
        <c:tickLblSkip val="5"/>
        <c:noMultiLvlLbl val="0"/>
      </c:catAx>
      <c:valAx>
        <c:axId val="354225792"/>
        <c:scaling>
          <c:orientation val="minMax"/>
          <c:min val="0"/>
        </c:scaling>
        <c:delete val="0"/>
        <c:axPos val="l"/>
        <c:title>
          <c:tx>
            <c:rich>
              <a:bodyPr rot="-5400000" vert="horz"/>
              <a:lstStyle/>
              <a:p>
                <a:pPr>
                  <a:defRPr/>
                </a:pPr>
                <a:r>
                  <a:rPr lang="en-US"/>
                  <a:t>Millions of Metric Tons of Carbon Dioxide Equivalent</a:t>
                </a:r>
              </a:p>
            </c:rich>
          </c:tx>
          <c:layout>
            <c:manualLayout>
              <c:xMode val="edge"/>
              <c:yMode val="edge"/>
              <c:x val="1.6247896897503198E-2"/>
              <c:y val="0.12768456375838927"/>
            </c:manualLayout>
          </c:layout>
          <c:overlay val="0"/>
        </c:title>
        <c:numFmt formatCode="0" sourceLinked="0"/>
        <c:majorTickMark val="none"/>
        <c:minorTickMark val="none"/>
        <c:tickLblPos val="nextTo"/>
        <c:crossAx val="354225400"/>
        <c:crosses val="autoZero"/>
        <c:crossBetween val="midCat"/>
      </c:valAx>
      <c:spPr>
        <a:noFill/>
      </c:spPr>
    </c:plotArea>
    <c:legend>
      <c:legendPos val="r"/>
      <c:legendEntry>
        <c:idx val="1"/>
        <c:delete val="1"/>
      </c:legendEntry>
      <c:legendEntry>
        <c:idx val="2"/>
        <c:delete val="1"/>
      </c:legendEntry>
      <c:legendEntry>
        <c:idx val="4"/>
        <c:delete val="1"/>
      </c:legendEntry>
      <c:layout>
        <c:manualLayout>
          <c:xMode val="edge"/>
          <c:yMode val="edge"/>
          <c:x val="0.27730735581129284"/>
          <c:y val="0.86406324314326477"/>
          <c:w val="0.48978666128272436"/>
          <c:h val="0.13177251228663528"/>
        </c:manualLayout>
      </c:layout>
      <c:overlay val="0"/>
    </c:legend>
    <c:plotVisOnly val="1"/>
    <c:dispBlanksAs val="gap"/>
    <c:showDLblsOverMax val="0"/>
  </c:chart>
  <c:spPr>
    <a:ln>
      <a:noFill/>
    </a:ln>
  </c:spPr>
  <c:txPr>
    <a:bodyPr/>
    <a:lstStyle/>
    <a:p>
      <a:pPr>
        <a:defRPr>
          <a:solidFill>
            <a:sysClr val="windowText" lastClr="000000"/>
          </a:solidFil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2273706171344"/>
          <c:y val="6.7089205176737193E-2"/>
          <c:w val="0.7492992462480651"/>
          <c:h val="0.83508811607695721"/>
        </c:manualLayout>
      </c:layout>
      <c:lineChart>
        <c:grouping val="standard"/>
        <c:varyColors val="0"/>
        <c:ser>
          <c:idx val="2"/>
          <c:order val="0"/>
          <c:tx>
            <c:v>Transportation</c:v>
          </c:tx>
          <c:spPr>
            <a:ln w="28575">
              <a:solidFill>
                <a:srgbClr val="499EA7"/>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TOTAL!$B$17:$AB$17</c:f>
              <c:numCache>
                <c:formatCode>0.0</c:formatCode>
                <c:ptCount val="27"/>
                <c:pt idx="0">
                  <c:v>15.594893195223236</c:v>
                </c:pt>
                <c:pt idx="1">
                  <c:v>15.522718919024204</c:v>
                </c:pt>
                <c:pt idx="2">
                  <c:v>15.63274476082505</c:v>
                </c:pt>
                <c:pt idx="3">
                  <c:v>15.725965053306988</c:v>
                </c:pt>
                <c:pt idx="4">
                  <c:v>15.654738452380638</c:v>
                </c:pt>
                <c:pt idx="5">
                  <c:v>15.411862664438061</c:v>
                </c:pt>
                <c:pt idx="6">
                  <c:v>16.205451492275188</c:v>
                </c:pt>
                <c:pt idx="7">
                  <c:v>16.240994629512119</c:v>
                </c:pt>
                <c:pt idx="8">
                  <c:v>16.474269244501052</c:v>
                </c:pt>
                <c:pt idx="9">
                  <c:v>17.686710799759659</c:v>
                </c:pt>
                <c:pt idx="10">
                  <c:v>17.159437822697132</c:v>
                </c:pt>
                <c:pt idx="11">
                  <c:v>17.829981763964913</c:v>
                </c:pt>
                <c:pt idx="12">
                  <c:v>17.672662338436663</c:v>
                </c:pt>
                <c:pt idx="13">
                  <c:v>18.161064805585116</c:v>
                </c:pt>
                <c:pt idx="14">
                  <c:v>19.933526530919455</c:v>
                </c:pt>
                <c:pt idx="15">
                  <c:v>18.956805320180621</c:v>
                </c:pt>
                <c:pt idx="16">
                  <c:v>18.085427014039094</c:v>
                </c:pt>
                <c:pt idx="17">
                  <c:v>17.956893617640155</c:v>
                </c:pt>
                <c:pt idx="18">
                  <c:v>16.953140518112697</c:v>
                </c:pt>
                <c:pt idx="19">
                  <c:v>16.433421005723435</c:v>
                </c:pt>
                <c:pt idx="20">
                  <c:v>16.141163121449182</c:v>
                </c:pt>
                <c:pt idx="21">
                  <c:v>15.841547816561491</c:v>
                </c:pt>
                <c:pt idx="22">
                  <c:v>15.43135936569147</c:v>
                </c:pt>
                <c:pt idx="23">
                  <c:v>15.460285137329196</c:v>
                </c:pt>
                <c:pt idx="24">
                  <c:v>15.349057667209875</c:v>
                </c:pt>
                <c:pt idx="25">
                  <c:v>15.374081556797121</c:v>
                </c:pt>
                <c:pt idx="26">
                  <c:v>15.541166691112418</c:v>
                </c:pt>
              </c:numCache>
            </c:numRef>
          </c:val>
          <c:smooth val="0"/>
        </c:ser>
        <c:ser>
          <c:idx val="0"/>
          <c:order val="1"/>
          <c:tx>
            <c:v>Residential</c:v>
          </c:tx>
          <c:spPr>
            <a:ln w="28575">
              <a:solidFill>
                <a:srgbClr val="684C74"/>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TOTAL!$B$14:$AB$14</c:f>
              <c:numCache>
                <c:formatCode>0.0</c:formatCode>
                <c:ptCount val="27"/>
                <c:pt idx="0">
                  <c:v>8.2682086032633251</c:v>
                </c:pt>
                <c:pt idx="1">
                  <c:v>8.0138234078982826</c:v>
                </c:pt>
                <c:pt idx="2">
                  <c:v>9.4917512050479314</c:v>
                </c:pt>
                <c:pt idx="3">
                  <c:v>9.0692239568326904</c:v>
                </c:pt>
                <c:pt idx="4">
                  <c:v>8.6666529138973978</c:v>
                </c:pt>
                <c:pt idx="5">
                  <c:v>7.9674613384372659</c:v>
                </c:pt>
                <c:pt idx="6">
                  <c:v>8.4506990309921211</c:v>
                </c:pt>
                <c:pt idx="7">
                  <c:v>8.1747703912872112</c:v>
                </c:pt>
                <c:pt idx="8">
                  <c:v>7.1108113605170171</c:v>
                </c:pt>
                <c:pt idx="9">
                  <c:v>8.0297172640889674</c:v>
                </c:pt>
                <c:pt idx="10">
                  <c:v>8.7813383321292271</c:v>
                </c:pt>
                <c:pt idx="11">
                  <c:v>8.4967831962407718</c:v>
                </c:pt>
                <c:pt idx="12">
                  <c:v>8.2308893319980037</c:v>
                </c:pt>
                <c:pt idx="13">
                  <c:v>9.7986813106196937</c:v>
                </c:pt>
                <c:pt idx="14">
                  <c:v>10.287679530368065</c:v>
                </c:pt>
                <c:pt idx="15">
                  <c:v>9.3488476935461957</c:v>
                </c:pt>
                <c:pt idx="16">
                  <c:v>8.0709312593451905</c:v>
                </c:pt>
                <c:pt idx="17">
                  <c:v>8.3257831208682536</c:v>
                </c:pt>
                <c:pt idx="18">
                  <c:v>8.1549968027739492</c:v>
                </c:pt>
                <c:pt idx="19">
                  <c:v>8.195432345164976</c:v>
                </c:pt>
                <c:pt idx="20">
                  <c:v>7.6501543874130515</c:v>
                </c:pt>
                <c:pt idx="21">
                  <c:v>7.2950851012436759</c:v>
                </c:pt>
                <c:pt idx="22">
                  <c:v>6.7235435168427413</c:v>
                </c:pt>
                <c:pt idx="23">
                  <c:v>7.3302061012241637</c:v>
                </c:pt>
                <c:pt idx="24">
                  <c:v>7.6160105436826013</c:v>
                </c:pt>
                <c:pt idx="25">
                  <c:v>7.7977545995147199</c:v>
                </c:pt>
                <c:pt idx="26">
                  <c:v>6.3672655431922456</c:v>
                </c:pt>
              </c:numCache>
            </c:numRef>
          </c:val>
          <c:smooth val="0"/>
        </c:ser>
        <c:ser>
          <c:idx val="1"/>
          <c:order val="2"/>
          <c:tx>
            <c:v>Electric power</c:v>
          </c:tx>
          <c:spPr>
            <a:ln w="28575">
              <a:solidFill>
                <a:schemeClr val="accent6">
                  <a:lumMod val="75000"/>
                </a:schemeClr>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TOTAL!$B$6:$AB$6</c:f>
              <c:numCache>
                <c:formatCode>0.0</c:formatCode>
                <c:ptCount val="27"/>
                <c:pt idx="0">
                  <c:v>11.908703011635628</c:v>
                </c:pt>
                <c:pt idx="1">
                  <c:v>12.015808424267215</c:v>
                </c:pt>
                <c:pt idx="2">
                  <c:v>11.282675657441759</c:v>
                </c:pt>
                <c:pt idx="3">
                  <c:v>10.22866671361591</c:v>
                </c:pt>
                <c:pt idx="4">
                  <c:v>10.395885380019983</c:v>
                </c:pt>
                <c:pt idx="5">
                  <c:v>10.320433330320103</c:v>
                </c:pt>
                <c:pt idx="6">
                  <c:v>10.734700429507201</c:v>
                </c:pt>
                <c:pt idx="7">
                  <c:v>13.201969739517997</c:v>
                </c:pt>
                <c:pt idx="8">
                  <c:v>12.948870196922446</c:v>
                </c:pt>
                <c:pt idx="9">
                  <c:v>12.210133852255002</c:v>
                </c:pt>
                <c:pt idx="10">
                  <c:v>11.989900612431979</c:v>
                </c:pt>
                <c:pt idx="11">
                  <c:v>12.343415698509945</c:v>
                </c:pt>
                <c:pt idx="12">
                  <c:v>11.983738560961358</c:v>
                </c:pt>
                <c:pt idx="13">
                  <c:v>12.355896167381317</c:v>
                </c:pt>
                <c:pt idx="14">
                  <c:v>12.228978878725954</c:v>
                </c:pt>
                <c:pt idx="15">
                  <c:v>12.670138824478334</c:v>
                </c:pt>
                <c:pt idx="16">
                  <c:v>11.08142070071079</c:v>
                </c:pt>
                <c:pt idx="17">
                  <c:v>11.291854503543206</c:v>
                </c:pt>
                <c:pt idx="18">
                  <c:v>10.093072782062062</c:v>
                </c:pt>
                <c:pt idx="19">
                  <c:v>11.454199128109076</c:v>
                </c:pt>
                <c:pt idx="20">
                  <c:v>11.964953399116686</c:v>
                </c:pt>
                <c:pt idx="21">
                  <c:v>10.461509104253894</c:v>
                </c:pt>
                <c:pt idx="22">
                  <c:v>9.6302283298383689</c:v>
                </c:pt>
                <c:pt idx="23">
                  <c:v>9.4730563839953703</c:v>
                </c:pt>
                <c:pt idx="24">
                  <c:v>9.8116989039421867</c:v>
                </c:pt>
                <c:pt idx="25">
                  <c:v>10.185914706607635</c:v>
                </c:pt>
                <c:pt idx="26">
                  <c:v>9.2891614699273113</c:v>
                </c:pt>
              </c:numCache>
            </c:numRef>
          </c:val>
          <c:smooth val="0"/>
        </c:ser>
        <c:ser>
          <c:idx val="5"/>
          <c:order val="3"/>
          <c:tx>
            <c:v>Industrial</c:v>
          </c:tx>
          <c:spPr>
            <a:ln w="31750">
              <a:solidFill>
                <a:schemeClr val="accent2">
                  <a:lumMod val="50000"/>
                </a:schemeClr>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TOTAL!$B$10:$AB$10</c:f>
              <c:numCache>
                <c:formatCode>0.0</c:formatCode>
                <c:ptCount val="27"/>
                <c:pt idx="0">
                  <c:v>3.2318343762831705</c:v>
                </c:pt>
                <c:pt idx="1">
                  <c:v>3.3621184634591459</c:v>
                </c:pt>
                <c:pt idx="2">
                  <c:v>3.6198835260494482</c:v>
                </c:pt>
                <c:pt idx="3">
                  <c:v>3.721715312015264</c:v>
                </c:pt>
                <c:pt idx="4">
                  <c:v>3.4202328623127047</c:v>
                </c:pt>
                <c:pt idx="5">
                  <c:v>3.4102712319722461</c:v>
                </c:pt>
                <c:pt idx="6">
                  <c:v>3.6643339007227729</c:v>
                </c:pt>
                <c:pt idx="7">
                  <c:v>4.5050611593290171</c:v>
                </c:pt>
                <c:pt idx="8">
                  <c:v>4.3562835986068293</c:v>
                </c:pt>
                <c:pt idx="9">
                  <c:v>4.3922076577373588</c:v>
                </c:pt>
                <c:pt idx="10">
                  <c:v>4.6504001870322726</c:v>
                </c:pt>
                <c:pt idx="11">
                  <c:v>4.4185971279417728</c:v>
                </c:pt>
                <c:pt idx="12">
                  <c:v>4.3984965283919344</c:v>
                </c:pt>
                <c:pt idx="13">
                  <c:v>4.7600564106562704</c:v>
                </c:pt>
                <c:pt idx="14">
                  <c:v>4.7254701728747612</c:v>
                </c:pt>
                <c:pt idx="15">
                  <c:v>4.6502683875037247</c:v>
                </c:pt>
                <c:pt idx="16">
                  <c:v>4.5579782697680589</c:v>
                </c:pt>
                <c:pt idx="17">
                  <c:v>4.2930455438909245</c:v>
                </c:pt>
                <c:pt idx="18">
                  <c:v>3.9453342880028073</c:v>
                </c:pt>
                <c:pt idx="19">
                  <c:v>3.941896943968517</c:v>
                </c:pt>
                <c:pt idx="20">
                  <c:v>3.9430237280105151</c:v>
                </c:pt>
                <c:pt idx="21">
                  <c:v>4.0569237723455238</c:v>
                </c:pt>
                <c:pt idx="22">
                  <c:v>3.9681016019518256</c:v>
                </c:pt>
                <c:pt idx="23">
                  <c:v>4.2076861169972881</c:v>
                </c:pt>
                <c:pt idx="24">
                  <c:v>4.1275730420571177</c:v>
                </c:pt>
                <c:pt idx="25">
                  <c:v>3.9772850754329001</c:v>
                </c:pt>
                <c:pt idx="26">
                  <c:v>3.9248656740770835</c:v>
                </c:pt>
              </c:numCache>
            </c:numRef>
          </c:val>
          <c:smooth val="0"/>
        </c:ser>
        <c:ser>
          <c:idx val="6"/>
          <c:order val="4"/>
          <c:tx>
            <c:v>Commercial</c:v>
          </c:tx>
          <c:spPr>
            <a:ln w="31750">
              <a:solidFill>
                <a:schemeClr val="accent2">
                  <a:lumMod val="75000"/>
                </a:schemeClr>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TOTAL!$B$3:$AB$3</c:f>
              <c:numCache>
                <c:formatCode>0.0</c:formatCode>
                <c:ptCount val="27"/>
                <c:pt idx="0">
                  <c:v>3.8299410805436258</c:v>
                </c:pt>
                <c:pt idx="1">
                  <c:v>3.6630819631086902</c:v>
                </c:pt>
                <c:pt idx="2">
                  <c:v>4.3133502626304345</c:v>
                </c:pt>
                <c:pt idx="3">
                  <c:v>3.8472971386827624</c:v>
                </c:pt>
                <c:pt idx="4">
                  <c:v>4.1771962154744635</c:v>
                </c:pt>
                <c:pt idx="5">
                  <c:v>3.8435294569074676</c:v>
                </c:pt>
                <c:pt idx="6">
                  <c:v>4.1360872574889607</c:v>
                </c:pt>
                <c:pt idx="7">
                  <c:v>4.3054284519781971</c:v>
                </c:pt>
                <c:pt idx="8">
                  <c:v>4.0392954513616797</c:v>
                </c:pt>
                <c:pt idx="9">
                  <c:v>4.2952045328372979</c:v>
                </c:pt>
                <c:pt idx="10">
                  <c:v>4.5502705055175579</c:v>
                </c:pt>
                <c:pt idx="11">
                  <c:v>4.3216339216085027</c:v>
                </c:pt>
                <c:pt idx="12">
                  <c:v>4.1316137735641236</c:v>
                </c:pt>
                <c:pt idx="13">
                  <c:v>4.9599546268754944</c:v>
                </c:pt>
                <c:pt idx="14">
                  <c:v>3.9419910738108213</c:v>
                </c:pt>
                <c:pt idx="15">
                  <c:v>3.7509581266116707</c:v>
                </c:pt>
                <c:pt idx="16">
                  <c:v>3.3259591391985772</c:v>
                </c:pt>
                <c:pt idx="17">
                  <c:v>3.3591549969486216</c:v>
                </c:pt>
                <c:pt idx="18">
                  <c:v>3.3791616265838149</c:v>
                </c:pt>
                <c:pt idx="19">
                  <c:v>3.2950506892048019</c:v>
                </c:pt>
                <c:pt idx="20">
                  <c:v>3.3693422317995214</c:v>
                </c:pt>
                <c:pt idx="21">
                  <c:v>3.6059264407630143</c:v>
                </c:pt>
                <c:pt idx="22">
                  <c:v>3.256406904906969</c:v>
                </c:pt>
                <c:pt idx="23">
                  <c:v>3.5831957840519104</c:v>
                </c:pt>
                <c:pt idx="24">
                  <c:v>3.8272906342575879</c:v>
                </c:pt>
                <c:pt idx="25">
                  <c:v>4.3476870568429087</c:v>
                </c:pt>
                <c:pt idx="26">
                  <c:v>3.9147997556616021</c:v>
                </c:pt>
              </c:numCache>
            </c:numRef>
          </c:val>
          <c:smooth val="0"/>
        </c:ser>
        <c:ser>
          <c:idx val="4"/>
          <c:order val="5"/>
          <c:tx>
            <c:v>Waste</c:v>
          </c:tx>
          <c:spPr>
            <a:ln w="31750">
              <a:solidFill>
                <a:srgbClr val="99CDD3"/>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TOTAL!$B$20:$AB$20</c:f>
              <c:numCache>
                <c:formatCode>0.0</c:formatCode>
                <c:ptCount val="27"/>
                <c:pt idx="0">
                  <c:v>1.9989638617769332</c:v>
                </c:pt>
                <c:pt idx="1">
                  <c:v>2.1743681902505219</c:v>
                </c:pt>
                <c:pt idx="2">
                  <c:v>2.0544800092543816</c:v>
                </c:pt>
                <c:pt idx="3">
                  <c:v>1.8646399216990068</c:v>
                </c:pt>
                <c:pt idx="4">
                  <c:v>2.0839476033896815</c:v>
                </c:pt>
                <c:pt idx="5">
                  <c:v>2.0722700866983419</c:v>
                </c:pt>
                <c:pt idx="6">
                  <c:v>2.0194103877612637</c:v>
                </c:pt>
                <c:pt idx="7">
                  <c:v>1.900521217628435</c:v>
                </c:pt>
                <c:pt idx="8">
                  <c:v>1.7621574657552113</c:v>
                </c:pt>
                <c:pt idx="9">
                  <c:v>1.8473897327582089</c:v>
                </c:pt>
                <c:pt idx="10">
                  <c:v>1.9272563192451582</c:v>
                </c:pt>
                <c:pt idx="11">
                  <c:v>1.4855603987199602</c:v>
                </c:pt>
                <c:pt idx="12">
                  <c:v>1.5981511941802657</c:v>
                </c:pt>
                <c:pt idx="13">
                  <c:v>2.1942445665048003</c:v>
                </c:pt>
                <c:pt idx="14">
                  <c:v>2.4376936385213157</c:v>
                </c:pt>
                <c:pt idx="15">
                  <c:v>2.4824143409142989</c:v>
                </c:pt>
                <c:pt idx="16">
                  <c:v>2.4507065000225539</c:v>
                </c:pt>
                <c:pt idx="17">
                  <c:v>2.3351415906469013</c:v>
                </c:pt>
                <c:pt idx="18">
                  <c:v>2.3974167431057682</c:v>
                </c:pt>
                <c:pt idx="19">
                  <c:v>1.7738905708754285</c:v>
                </c:pt>
                <c:pt idx="20">
                  <c:v>1.8447021326316972</c:v>
                </c:pt>
                <c:pt idx="21">
                  <c:v>1.8489268970157946</c:v>
                </c:pt>
                <c:pt idx="22" formatCode="0.00">
                  <c:v>1.8372820274958923</c:v>
                </c:pt>
                <c:pt idx="23" formatCode="0.00">
                  <c:v>1.8529001460136738</c:v>
                </c:pt>
                <c:pt idx="24" formatCode="0.00">
                  <c:v>1.850013030344309</c:v>
                </c:pt>
                <c:pt idx="25" formatCode="0.00">
                  <c:v>1.8647351863885504</c:v>
                </c:pt>
                <c:pt idx="26" formatCode="0.00">
                  <c:v>1.8483898960635956</c:v>
                </c:pt>
              </c:numCache>
            </c:numRef>
          </c:val>
          <c:smooth val="0"/>
        </c:ser>
        <c:ser>
          <c:idx val="3"/>
          <c:order val="6"/>
          <c:tx>
            <c:v>Agricultural</c:v>
          </c:tx>
          <c:spPr>
            <a:ln w="31750">
              <a:solidFill>
                <a:schemeClr val="bg2">
                  <a:lumMod val="25000"/>
                </a:schemeClr>
              </a:solidFill>
            </a:ln>
          </c:spPr>
          <c:marker>
            <c:symbol val="none"/>
          </c:marker>
          <c:cat>
            <c:numRef>
              <c:f>TOTAL!$B$1:$AB$1</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TOTAL!$B$2:$AB$2</c:f>
              <c:numCache>
                <c:formatCode>0.00</c:formatCode>
                <c:ptCount val="27"/>
                <c:pt idx="0">
                  <c:v>0.34850335558967865</c:v>
                </c:pt>
                <c:pt idx="1">
                  <c:v>0.32734139144053537</c:v>
                </c:pt>
                <c:pt idx="2">
                  <c:v>0.36469230368335126</c:v>
                </c:pt>
                <c:pt idx="3">
                  <c:v>0.38501501052572262</c:v>
                </c:pt>
                <c:pt idx="4">
                  <c:v>0.3723381483558994</c:v>
                </c:pt>
                <c:pt idx="5">
                  <c:v>0.37217269493535654</c:v>
                </c:pt>
                <c:pt idx="6">
                  <c:v>0.3208646504335016</c:v>
                </c:pt>
                <c:pt idx="7">
                  <c:v>0.30578610965310232</c:v>
                </c:pt>
                <c:pt idx="8">
                  <c:v>0.3374365813510174</c:v>
                </c:pt>
                <c:pt idx="9">
                  <c:v>0.32971064816667273</c:v>
                </c:pt>
                <c:pt idx="10">
                  <c:v>0.31501215723138809</c:v>
                </c:pt>
                <c:pt idx="11">
                  <c:v>0.32510414862609416</c:v>
                </c:pt>
                <c:pt idx="12">
                  <c:v>0.33591315147617662</c:v>
                </c:pt>
                <c:pt idx="13">
                  <c:v>0.31576527610401472</c:v>
                </c:pt>
                <c:pt idx="14">
                  <c:v>0.29862154550019404</c:v>
                </c:pt>
                <c:pt idx="15">
                  <c:v>0.36566373968129912</c:v>
                </c:pt>
                <c:pt idx="16">
                  <c:v>0.30248688937747997</c:v>
                </c:pt>
                <c:pt idx="17">
                  <c:v>0.3878751628075881</c:v>
                </c:pt>
                <c:pt idx="18">
                  <c:v>0.38657332818863177</c:v>
                </c:pt>
                <c:pt idx="19">
                  <c:v>0.3546533582889182</c:v>
                </c:pt>
                <c:pt idx="20">
                  <c:v>0.33626196218865717</c:v>
                </c:pt>
                <c:pt idx="21">
                  <c:v>0.28815905062835634</c:v>
                </c:pt>
                <c:pt idx="22">
                  <c:v>0.28268838807207536</c:v>
                </c:pt>
                <c:pt idx="23">
                  <c:v>0.28249634174849902</c:v>
                </c:pt>
                <c:pt idx="24">
                  <c:v>0.24637687864419811</c:v>
                </c:pt>
                <c:pt idx="25">
                  <c:v>0.25101974943047101</c:v>
                </c:pt>
                <c:pt idx="26">
                  <c:v>0.24603554754315504</c:v>
                </c:pt>
              </c:numCache>
            </c:numRef>
          </c:val>
          <c:smooth val="0"/>
        </c:ser>
        <c:dLbls>
          <c:showLegendKey val="0"/>
          <c:showVal val="0"/>
          <c:showCatName val="0"/>
          <c:showSerName val="0"/>
          <c:showPercent val="0"/>
          <c:showBubbleSize val="0"/>
        </c:dLbls>
        <c:smooth val="0"/>
        <c:axId val="354226576"/>
        <c:axId val="354226968"/>
      </c:lineChart>
      <c:catAx>
        <c:axId val="354226576"/>
        <c:scaling>
          <c:orientation val="minMax"/>
        </c:scaling>
        <c:delete val="0"/>
        <c:axPos val="b"/>
        <c:numFmt formatCode="General" sourceLinked="0"/>
        <c:majorTickMark val="cross"/>
        <c:minorTickMark val="none"/>
        <c:tickLblPos val="nextTo"/>
        <c:txPr>
          <a:bodyPr rot="0"/>
          <a:lstStyle/>
          <a:p>
            <a:pPr>
              <a:defRPr sz="1200">
                <a:solidFill>
                  <a:sysClr val="windowText" lastClr="000000"/>
                </a:solidFill>
              </a:defRPr>
            </a:pPr>
            <a:endParaRPr lang="en-US"/>
          </a:p>
        </c:txPr>
        <c:crossAx val="354226968"/>
        <c:crosses val="autoZero"/>
        <c:auto val="1"/>
        <c:lblAlgn val="ctr"/>
        <c:lblOffset val="100"/>
        <c:tickLblSkip val="5"/>
        <c:noMultiLvlLbl val="0"/>
      </c:catAx>
      <c:valAx>
        <c:axId val="354226968"/>
        <c:scaling>
          <c:orientation val="minMax"/>
          <c:max val="20"/>
        </c:scaling>
        <c:delete val="0"/>
        <c:axPos val="l"/>
        <c:majorGridlines/>
        <c:title>
          <c:tx>
            <c:rich>
              <a:bodyPr rot="-5400000" vert="horz"/>
              <a:lstStyle/>
              <a:p>
                <a:pPr>
                  <a:defRPr b="0">
                    <a:solidFill>
                      <a:sysClr val="windowText" lastClr="000000"/>
                    </a:solidFill>
                  </a:defRPr>
                </a:pPr>
                <a:r>
                  <a:rPr lang="en-US" sz="1000" b="0" i="0" baseline="0">
                    <a:solidFill>
                      <a:sysClr val="windowText" lastClr="000000"/>
                    </a:solidFill>
                    <a:effectLst/>
                    <a:latin typeface="+mn-lt"/>
                  </a:rPr>
                  <a:t>Millions of Metric Tons of Carbon Dioxide Equivalent</a:t>
                </a:r>
                <a:endParaRPr lang="en-US" sz="1000" b="0">
                  <a:solidFill>
                    <a:sysClr val="windowText" lastClr="000000"/>
                  </a:solidFill>
                  <a:effectLst/>
                  <a:latin typeface="+mn-lt"/>
                </a:endParaRPr>
              </a:p>
            </c:rich>
          </c:tx>
          <c:layout>
            <c:manualLayout>
              <c:xMode val="edge"/>
              <c:yMode val="edge"/>
              <c:x val="3.2474376407712361E-3"/>
              <c:y val="0.23769039688895971"/>
            </c:manualLayout>
          </c:layout>
          <c:overlay val="0"/>
        </c:title>
        <c:numFmt formatCode="0" sourceLinked="0"/>
        <c:majorTickMark val="none"/>
        <c:minorTickMark val="none"/>
        <c:tickLblPos val="nextTo"/>
        <c:spPr>
          <a:ln>
            <a:solidFill>
              <a:schemeClr val="bg1">
                <a:lumMod val="75000"/>
              </a:schemeClr>
            </a:solidFill>
          </a:ln>
        </c:spPr>
        <c:txPr>
          <a:bodyPr/>
          <a:lstStyle/>
          <a:p>
            <a:pPr>
              <a:defRPr sz="1200">
                <a:solidFill>
                  <a:schemeClr val="bg1">
                    <a:lumMod val="50000"/>
                  </a:schemeClr>
                </a:solidFill>
              </a:defRPr>
            </a:pPr>
            <a:endParaRPr lang="en-US"/>
          </a:p>
        </c:txPr>
        <c:crossAx val="354226576"/>
        <c:crosses val="autoZero"/>
        <c:crossBetween val="midCat"/>
      </c:valAx>
    </c:plotArea>
    <c:plotVisOnly val="1"/>
    <c:dispBlanksAs val="gap"/>
    <c:showDLblsOverMax val="0"/>
  </c:chart>
  <c:spPr>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145248670839222"/>
          <c:y val="8.3653530092879361E-2"/>
          <c:w val="0.77637660677030751"/>
          <c:h val="0.79088847374254434"/>
        </c:manualLayout>
      </c:layout>
      <c:scatterChart>
        <c:scatterStyle val="smoothMarker"/>
        <c:varyColors val="0"/>
        <c:ser>
          <c:idx val="0"/>
          <c:order val="0"/>
          <c:tx>
            <c:strRef>
              <c:f>CT_FEB!$H$1</c:f>
              <c:strCache>
                <c:ptCount val="1"/>
                <c:pt idx="0">
                  <c:v>JAN</c:v>
                </c:pt>
              </c:strCache>
            </c:strRef>
          </c:tx>
          <c:spPr>
            <a:ln w="28575" cap="rnd">
              <a:solidFill>
                <a:srgbClr val="7030A0"/>
              </a:solidFill>
              <a:round/>
            </a:ln>
            <a:effectLst/>
          </c:spPr>
          <c:marker>
            <c:symbol val="none"/>
          </c:marker>
          <c:xVal>
            <c:numRef>
              <c:f>CT_FEB!$A$2:$A$41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xVal>
          <c:yVal>
            <c:numRef>
              <c:f>CT_FEB!$H$2:$H$41</c:f>
              <c:numCache>
                <c:formatCode>General</c:formatCode>
                <c:ptCount val="40"/>
                <c:pt idx="0">
                  <c:v>2.8780000000000001</c:v>
                </c:pt>
                <c:pt idx="1">
                  <c:v>-7.0128000000000021</c:v>
                </c:pt>
                <c:pt idx="2">
                  <c:v>-7.0036000000000023</c:v>
                </c:pt>
                <c:pt idx="3">
                  <c:v>2.1055999999999955</c:v>
                </c:pt>
                <c:pt idx="4">
                  <c:v>-2.4852000000000061</c:v>
                </c:pt>
                <c:pt idx="5">
                  <c:v>-3.2760000000000069</c:v>
                </c:pt>
                <c:pt idx="6">
                  <c:v>2.2331999999999894</c:v>
                </c:pt>
                <c:pt idx="7">
                  <c:v>0.24239999999998929</c:v>
                </c:pt>
                <c:pt idx="8">
                  <c:v>-2.9484000000000137</c:v>
                </c:pt>
                <c:pt idx="9">
                  <c:v>4.6607999999999876</c:v>
                </c:pt>
                <c:pt idx="10">
                  <c:v>8.7699999999999818</c:v>
                </c:pt>
                <c:pt idx="11">
                  <c:v>1.0791999999999824</c:v>
                </c:pt>
                <c:pt idx="12">
                  <c:v>2.5883999999999823</c:v>
                </c:pt>
                <c:pt idx="13">
                  <c:v>3.4975999999999807</c:v>
                </c:pt>
                <c:pt idx="14">
                  <c:v>-7.1932000000000222</c:v>
                </c:pt>
                <c:pt idx="15">
                  <c:v>6.3159999999999741</c:v>
                </c:pt>
                <c:pt idx="16">
                  <c:v>-0.87480000000002534</c:v>
                </c:pt>
                <c:pt idx="17">
                  <c:v>0.73439999999997241</c:v>
                </c:pt>
                <c:pt idx="18">
                  <c:v>6.8435999999999737</c:v>
                </c:pt>
                <c:pt idx="19">
                  <c:v>1.0527999999999693</c:v>
                </c:pt>
                <c:pt idx="20">
                  <c:v>-1.8380000000000294</c:v>
                </c:pt>
                <c:pt idx="21">
                  <c:v>-0.72880000000003164</c:v>
                </c:pt>
                <c:pt idx="22">
                  <c:v>6.6803999999999633</c:v>
                </c:pt>
                <c:pt idx="23">
                  <c:v>-5.3104000000000369</c:v>
                </c:pt>
                <c:pt idx="24">
                  <c:v>-8.1012000000000377</c:v>
                </c:pt>
                <c:pt idx="25">
                  <c:v>-2.5920000000000378</c:v>
                </c:pt>
                <c:pt idx="26">
                  <c:v>6.7171999999999628</c:v>
                </c:pt>
                <c:pt idx="27">
                  <c:v>4.2263999999999591</c:v>
                </c:pt>
                <c:pt idx="28">
                  <c:v>2.5355999999999561</c:v>
                </c:pt>
                <c:pt idx="29">
                  <c:v>-6.2552000000000447</c:v>
                </c:pt>
                <c:pt idx="30">
                  <c:v>-0.34600000000004627</c:v>
                </c:pt>
                <c:pt idx="31">
                  <c:v>-4.2368000000000485</c:v>
                </c:pt>
                <c:pt idx="32">
                  <c:v>4.1723999999999499</c:v>
                </c:pt>
                <c:pt idx="33">
                  <c:v>1.1815999999999498</c:v>
                </c:pt>
                <c:pt idx="34">
                  <c:v>-4.109200000000051</c:v>
                </c:pt>
                <c:pt idx="35">
                  <c:v>-4.5000000000000533</c:v>
                </c:pt>
                <c:pt idx="36">
                  <c:v>1.8091999999999437</c:v>
                </c:pt>
                <c:pt idx="37">
                  <c:v>4.8183999999999401</c:v>
                </c:pt>
                <c:pt idx="38">
                  <c:v>-2.7724000000000579</c:v>
                </c:pt>
              </c:numCache>
            </c:numRef>
          </c:yVal>
          <c:smooth val="1"/>
        </c:ser>
        <c:ser>
          <c:idx val="1"/>
          <c:order val="1"/>
          <c:tx>
            <c:strRef>
              <c:f>CT_FEB!$I$1</c:f>
              <c:strCache>
                <c:ptCount val="1"/>
                <c:pt idx="0">
                  <c:v>FEB</c:v>
                </c:pt>
              </c:strCache>
            </c:strRef>
          </c:tx>
          <c:spPr>
            <a:ln w="28575" cap="rnd">
              <a:solidFill>
                <a:srgbClr val="002A7E">
                  <a:lumMod val="60000"/>
                  <a:lumOff val="40000"/>
                </a:srgbClr>
              </a:solidFill>
              <a:round/>
            </a:ln>
            <a:effectLst/>
          </c:spPr>
          <c:marker>
            <c:symbol val="none"/>
          </c:marker>
          <c:xVal>
            <c:numRef>
              <c:f>CT_FEB!$A$2:$A$41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xVal>
          <c:yVal>
            <c:numRef>
              <c:f>CT_FEB!$I$2:$I$41</c:f>
              <c:numCache>
                <c:formatCode>General</c:formatCode>
                <c:ptCount val="40"/>
                <c:pt idx="0">
                  <c:v>-4.7560000000000002</c:v>
                </c:pt>
                <c:pt idx="1">
                  <c:v>4.7262999999999984</c:v>
                </c:pt>
                <c:pt idx="2">
                  <c:v>-0.79140000000000299</c:v>
                </c:pt>
                <c:pt idx="3">
                  <c:v>0.69089999999999563</c:v>
                </c:pt>
                <c:pt idx="4">
                  <c:v>5.4731999999999914</c:v>
                </c:pt>
                <c:pt idx="5">
                  <c:v>0.25549999999999429</c:v>
                </c:pt>
                <c:pt idx="6">
                  <c:v>-3.1622000000000092</c:v>
                </c:pt>
                <c:pt idx="7">
                  <c:v>-2.5799000000000092</c:v>
                </c:pt>
                <c:pt idx="8">
                  <c:v>-0.69760000000001199</c:v>
                </c:pt>
                <c:pt idx="9">
                  <c:v>-1.2153000000000134</c:v>
                </c:pt>
                <c:pt idx="10">
                  <c:v>3.6669999999999874</c:v>
                </c:pt>
                <c:pt idx="11">
                  <c:v>3.9492999999999832</c:v>
                </c:pt>
                <c:pt idx="12">
                  <c:v>0.83159999999998391</c:v>
                </c:pt>
                <c:pt idx="13">
                  <c:v>-5.8861000000000168</c:v>
                </c:pt>
                <c:pt idx="14">
                  <c:v>-6.2038000000000189</c:v>
                </c:pt>
                <c:pt idx="15">
                  <c:v>-3.2215000000000202</c:v>
                </c:pt>
                <c:pt idx="16">
                  <c:v>-1.6392000000000237</c:v>
                </c:pt>
                <c:pt idx="17">
                  <c:v>4.8430999999999749</c:v>
                </c:pt>
                <c:pt idx="18">
                  <c:v>6.1253999999999778</c:v>
                </c:pt>
                <c:pt idx="19">
                  <c:v>2.6076999999999728</c:v>
                </c:pt>
                <c:pt idx="20">
                  <c:v>2.1899999999999729</c:v>
                </c:pt>
                <c:pt idx="21">
                  <c:v>0.37229999999997077</c:v>
                </c:pt>
                <c:pt idx="22">
                  <c:v>4.9545999999999708</c:v>
                </c:pt>
                <c:pt idx="23">
                  <c:v>-5.3631000000000313</c:v>
                </c:pt>
                <c:pt idx="24">
                  <c:v>-0.68080000000003338</c:v>
                </c:pt>
                <c:pt idx="25">
                  <c:v>0.50149999999996453</c:v>
                </c:pt>
                <c:pt idx="26">
                  <c:v>0.28379999999996386</c:v>
                </c:pt>
                <c:pt idx="27">
                  <c:v>-5.9339000000000368</c:v>
                </c:pt>
                <c:pt idx="28">
                  <c:v>0.54839999999996181</c:v>
                </c:pt>
                <c:pt idx="29">
                  <c:v>0.930699999999959</c:v>
                </c:pt>
                <c:pt idx="30">
                  <c:v>0.51299999999995904</c:v>
                </c:pt>
                <c:pt idx="31">
                  <c:v>-2.2047000000000416</c:v>
                </c:pt>
                <c:pt idx="32">
                  <c:v>5.6775999999999556</c:v>
                </c:pt>
                <c:pt idx="33">
                  <c:v>-0.14010000000004652</c:v>
                </c:pt>
                <c:pt idx="34">
                  <c:v>-4.3578000000000472</c:v>
                </c:pt>
                <c:pt idx="35">
                  <c:v>-13.575500000000048</c:v>
                </c:pt>
                <c:pt idx="36">
                  <c:v>2.60679999999995</c:v>
                </c:pt>
                <c:pt idx="37">
                  <c:v>5.1890999999999501</c:v>
                </c:pt>
                <c:pt idx="38">
                  <c:v>6.1713999999999487</c:v>
                </c:pt>
              </c:numCache>
            </c:numRef>
          </c:yVal>
          <c:smooth val="1"/>
        </c:ser>
        <c:ser>
          <c:idx val="2"/>
          <c:order val="2"/>
          <c:tx>
            <c:strRef>
              <c:f>CT_FEB!$J$1</c:f>
              <c:strCache>
                <c:ptCount val="1"/>
                <c:pt idx="0">
                  <c:v>MAR</c:v>
                </c:pt>
              </c:strCache>
            </c:strRef>
          </c:tx>
          <c:spPr>
            <a:ln w="28575" cap="rnd">
              <a:solidFill>
                <a:schemeClr val="accent3"/>
              </a:solidFill>
              <a:round/>
            </a:ln>
            <a:effectLst/>
          </c:spPr>
          <c:marker>
            <c:symbol val="none"/>
          </c:marker>
          <c:xVal>
            <c:numRef>
              <c:f>CT_FEB!$A$2:$A$41</c:f>
              <c:numCache>
                <c:formatCode>General</c:formatCod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xVal>
          <c:yVal>
            <c:numRef>
              <c:f>CT_FEB!$J$2:$J$41</c:f>
              <c:numCache>
                <c:formatCode>General</c:formatCode>
                <c:ptCount val="40"/>
                <c:pt idx="0">
                  <c:v>-1.6659999999999968</c:v>
                </c:pt>
                <c:pt idx="1">
                  <c:v>-0.2862000000000009</c:v>
                </c:pt>
                <c:pt idx="2">
                  <c:v>-1.5064000000000064</c:v>
                </c:pt>
                <c:pt idx="3">
                  <c:v>2.2733999999999952</c:v>
                </c:pt>
                <c:pt idx="4">
                  <c:v>-5.3468000000000089</c:v>
                </c:pt>
                <c:pt idx="5">
                  <c:v>2.6329999999999885</c:v>
                </c:pt>
                <c:pt idx="6">
                  <c:v>1.0127999999999844</c:v>
                </c:pt>
                <c:pt idx="7">
                  <c:v>1.8925999999999803</c:v>
                </c:pt>
                <c:pt idx="8">
                  <c:v>0.6723999999999819</c:v>
                </c:pt>
                <c:pt idx="9">
                  <c:v>-0.34780000000002076</c:v>
                </c:pt>
                <c:pt idx="10">
                  <c:v>2.1319999999999766</c:v>
                </c:pt>
                <c:pt idx="11">
                  <c:v>2.9117999999999711</c:v>
                </c:pt>
                <c:pt idx="12">
                  <c:v>-2.9084000000000287</c:v>
                </c:pt>
                <c:pt idx="13">
                  <c:v>-3.4286000000000314</c:v>
                </c:pt>
                <c:pt idx="14">
                  <c:v>-1.3488000000000326</c:v>
                </c:pt>
                <c:pt idx="15">
                  <c:v>2.730999999999959</c:v>
                </c:pt>
                <c:pt idx="16">
                  <c:v>-3.1892000000000422</c:v>
                </c:pt>
                <c:pt idx="17">
                  <c:v>-0.8094000000000463</c:v>
                </c:pt>
                <c:pt idx="18">
                  <c:v>2.670399999999951</c:v>
                </c:pt>
                <c:pt idx="19">
                  <c:v>0.7501999999999498</c:v>
                </c:pt>
                <c:pt idx="20">
                  <c:v>5.2299999999999471</c:v>
                </c:pt>
                <c:pt idx="21">
                  <c:v>-2.5902000000000527</c:v>
                </c:pt>
                <c:pt idx="22">
                  <c:v>1.8895999999999447</c:v>
                </c:pt>
                <c:pt idx="23">
                  <c:v>-0.73060000000005942</c:v>
                </c:pt>
                <c:pt idx="24">
                  <c:v>1.2491999999999379</c:v>
                </c:pt>
                <c:pt idx="25">
                  <c:v>-4.4710000000000676</c:v>
                </c:pt>
                <c:pt idx="26">
                  <c:v>-9.1200000000064563E-2</c:v>
                </c:pt>
                <c:pt idx="27">
                  <c:v>-1.7114000000000686</c:v>
                </c:pt>
                <c:pt idx="28">
                  <c:v>-0.33160000000007273</c:v>
                </c:pt>
                <c:pt idx="29">
                  <c:v>-5.1800000000078228E-2</c:v>
                </c:pt>
                <c:pt idx="30">
                  <c:v>6.127999999999922</c:v>
                </c:pt>
                <c:pt idx="31">
                  <c:v>0.10779999999991929</c:v>
                </c:pt>
                <c:pt idx="32">
                  <c:v>8.8875999999999138</c:v>
                </c:pt>
                <c:pt idx="33">
                  <c:v>-0.93260000000008603</c:v>
                </c:pt>
                <c:pt idx="34">
                  <c:v>-6.3528000000000873</c:v>
                </c:pt>
                <c:pt idx="35">
                  <c:v>-5.9730000000000913</c:v>
                </c:pt>
                <c:pt idx="36">
                  <c:v>6.2067999999999088</c:v>
                </c:pt>
                <c:pt idx="37">
                  <c:v>-3.6134000000000981</c:v>
                </c:pt>
                <c:pt idx="38">
                  <c:v>-0.93360000000009791</c:v>
                </c:pt>
              </c:numCache>
            </c:numRef>
          </c:yVal>
          <c:smooth val="1"/>
        </c:ser>
        <c:dLbls>
          <c:showLegendKey val="0"/>
          <c:showVal val="0"/>
          <c:showCatName val="0"/>
          <c:showSerName val="0"/>
          <c:showPercent val="0"/>
          <c:showBubbleSize val="0"/>
        </c:dLbls>
        <c:axId val="991207256"/>
        <c:axId val="991207648"/>
      </c:scatterChart>
      <c:valAx>
        <c:axId val="991207256"/>
        <c:scaling>
          <c:orientation val="minMax"/>
          <c:max val="2018"/>
          <c:min val="1980"/>
        </c:scaling>
        <c:delete val="0"/>
        <c:axPos val="b"/>
        <c:numFmt formatCode="General" sourceLinked="1"/>
        <c:majorTickMark val="cross"/>
        <c:minorTickMark val="none"/>
        <c:tickLblPos val="low"/>
        <c:spPr>
          <a:noFill/>
          <a:ln w="9525" cap="flat" cmpd="sng" algn="ctr">
            <a:solidFill>
              <a:sysClr val="windowText" lastClr="000000"/>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991207648"/>
        <c:crosses val="autoZero"/>
        <c:crossBetween val="midCat"/>
        <c:majorUnit val="5"/>
        <c:minorUnit val="5"/>
      </c:valAx>
      <c:valAx>
        <c:axId val="99120764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orbel" panose="020B0503020204020204" pitchFamily="34" charset="0"/>
                    <a:ea typeface="+mn-ea"/>
                    <a:cs typeface="+mn-cs"/>
                  </a:defRPr>
                </a:pPr>
                <a:r>
                  <a:rPr lang="en-US"/>
                  <a:t>Temperature Anomalies (deg F)</a:t>
                </a:r>
              </a:p>
            </c:rich>
          </c:tx>
          <c:layout>
            <c:manualLayout>
              <c:xMode val="edge"/>
              <c:yMode val="edge"/>
              <c:x val="1.6404199475065617E-2"/>
              <c:y val="0.22629462066140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991207256"/>
        <c:crosses val="autoZero"/>
        <c:crossBetween val="midCat"/>
        <c:majorUnit val="5"/>
      </c:valAx>
      <c:spPr>
        <a:noFill/>
        <a:ln>
          <a:noFill/>
        </a:ln>
        <a:effectLst/>
      </c:spPr>
    </c:plotArea>
    <c:legend>
      <c:legendPos val="b"/>
      <c:layout>
        <c:manualLayout>
          <c:xMode val="edge"/>
          <c:yMode val="edge"/>
          <c:x val="0.82686217107476945"/>
          <c:y val="4.1155318140298547E-2"/>
          <c:w val="0.12615367790564641"/>
          <c:h val="0.170088650812921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rgbClr val="FFFFFF"/>
    </a:solidFill>
    <a:ln w="9525" cap="flat" cmpd="sng" algn="ctr">
      <a:noFill/>
      <a:round/>
    </a:ln>
    <a:effectLst/>
  </c:spPr>
  <c:txPr>
    <a:bodyPr/>
    <a:lstStyle/>
    <a:p>
      <a:pPr>
        <a:defRPr>
          <a:latin typeface="Corbel" panose="020B0503020204020204" pitchFamily="34"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27058031336241"/>
          <c:y val="0.1106338553318419"/>
          <c:w val="0.81061947092506725"/>
          <c:h val="0.67647366226872652"/>
        </c:manualLayout>
      </c:layout>
      <c:lineChart>
        <c:grouping val="standard"/>
        <c:varyColors val="0"/>
        <c:ser>
          <c:idx val="0"/>
          <c:order val="0"/>
          <c:tx>
            <c:strRef>
              <c:f>Sheet4!$B$1</c:f>
              <c:strCache>
                <c:ptCount val="1"/>
                <c:pt idx="0">
                  <c:v>GHG emissions per capita </c:v>
                </c:pt>
              </c:strCache>
            </c:strRef>
          </c:tx>
          <c:spPr>
            <a:ln w="28575" cap="rnd">
              <a:solidFill>
                <a:schemeClr val="accent1"/>
              </a:solidFill>
              <a:round/>
            </a:ln>
            <a:effectLst/>
          </c:spPr>
          <c:marker>
            <c:symbol val="none"/>
          </c:marker>
          <c:cat>
            <c:numRef>
              <c:f>Sheet4!$A$2:$A$28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Sheet4!$B$2:$B$28</c:f>
              <c:numCache>
                <c:formatCode>General</c:formatCode>
                <c:ptCount val="27"/>
                <c:pt idx="0">
                  <c:v>30253.921525477886</c:v>
                </c:pt>
                <c:pt idx="1">
                  <c:v>30089.971322473222</c:v>
                </c:pt>
                <c:pt idx="2">
                  <c:v>31235.267031276071</c:v>
                </c:pt>
                <c:pt idx="3">
                  <c:v>29871.935831388957</c:v>
                </c:pt>
                <c:pt idx="4">
                  <c:v>29772.548560482599</c:v>
                </c:pt>
                <c:pt idx="5">
                  <c:v>28786.636037034699</c:v>
                </c:pt>
                <c:pt idx="6">
                  <c:v>30085.329374927867</c:v>
                </c:pt>
                <c:pt idx="7">
                  <c:v>32016.01475616594</c:v>
                </c:pt>
                <c:pt idx="8">
                  <c:v>30802.899413751154</c:v>
                </c:pt>
                <c:pt idx="9">
                  <c:v>31768.251737266932</c:v>
                </c:pt>
                <c:pt idx="10">
                  <c:v>31912.174199799319</c:v>
                </c:pt>
                <c:pt idx="11">
                  <c:v>31609.652852060171</c:v>
                </c:pt>
                <c:pt idx="12">
                  <c:v>30814.755110310496</c:v>
                </c:pt>
                <c:pt idx="13">
                  <c:v>33239.703677459707</c:v>
                </c:pt>
                <c:pt idx="14">
                  <c:v>33950.91281111131</c:v>
                </c:pt>
                <c:pt idx="15">
                  <c:v>32835.045517033308</c:v>
                </c:pt>
                <c:pt idx="16">
                  <c:v>29993.673048351764</c:v>
                </c:pt>
                <c:pt idx="17">
                  <c:v>29959.87853933758</c:v>
                </c:pt>
                <c:pt idx="18">
                  <c:v>28164.91844391686</c:v>
                </c:pt>
                <c:pt idx="19">
                  <c:v>28125.246555812922</c:v>
                </c:pt>
                <c:pt idx="20">
                  <c:v>27867.986821803464</c:v>
                </c:pt>
                <c:pt idx="21">
                  <c:v>26638.081904322476</c:v>
                </c:pt>
                <c:pt idx="22">
                  <c:v>25228.803394041272</c:v>
                </c:pt>
                <c:pt idx="23">
                  <c:v>25837.595193405665</c:v>
                </c:pt>
                <c:pt idx="24">
                  <c:v>26252.200551146831</c:v>
                </c:pt>
                <c:pt idx="25">
                  <c:v>26884.080230327068</c:v>
                </c:pt>
                <c:pt idx="26">
                  <c:v>25353.154954471509</c:v>
                </c:pt>
              </c:numCache>
            </c:numRef>
          </c:val>
          <c:smooth val="0"/>
        </c:ser>
        <c:dLbls>
          <c:showLegendKey val="0"/>
          <c:showVal val="0"/>
          <c:showCatName val="0"/>
          <c:showSerName val="0"/>
          <c:showPercent val="0"/>
          <c:showBubbleSize val="0"/>
        </c:dLbls>
        <c:marker val="1"/>
        <c:smooth val="0"/>
        <c:axId val="991208432"/>
        <c:axId val="1138324192"/>
      </c:lineChart>
      <c:lineChart>
        <c:grouping val="standard"/>
        <c:varyColors val="0"/>
        <c:ser>
          <c:idx val="1"/>
          <c:order val="1"/>
          <c:tx>
            <c:strRef>
              <c:f>Sheet4!$C$1</c:f>
              <c:strCache>
                <c:ptCount val="1"/>
                <c:pt idx="0">
                  <c:v>GHG emissions per $ GDP</c:v>
                </c:pt>
              </c:strCache>
            </c:strRef>
          </c:tx>
          <c:spPr>
            <a:ln w="28575" cap="rnd">
              <a:solidFill>
                <a:schemeClr val="accent2"/>
              </a:solidFill>
              <a:round/>
            </a:ln>
            <a:effectLst/>
          </c:spPr>
          <c:marker>
            <c:symbol val="none"/>
          </c:marker>
          <c:cat>
            <c:numRef>
              <c:f>Sheet4!$A$2:$A$28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Sheet4!$C$2:$C$28</c:f>
              <c:numCache>
                <c:formatCode>General</c:formatCode>
                <c:ptCount val="27"/>
                <c:pt idx="0">
                  <c:v>0.99438989013439161</c:v>
                </c:pt>
                <c:pt idx="1">
                  <c:v>0.97938053565405814</c:v>
                </c:pt>
                <c:pt idx="2">
                  <c:v>0.974735958584521</c:v>
                </c:pt>
                <c:pt idx="3">
                  <c:v>0.91809735597553122</c:v>
                </c:pt>
                <c:pt idx="4">
                  <c:v>0.8725900494886446</c:v>
                </c:pt>
                <c:pt idx="5">
                  <c:v>0.77651609041223724</c:v>
                </c:pt>
                <c:pt idx="6">
                  <c:v>0.77746868567378025</c:v>
                </c:pt>
                <c:pt idx="7">
                  <c:v>0.76527151393241155</c:v>
                </c:pt>
                <c:pt idx="8">
                  <c:v>0.70097117273392118</c:v>
                </c:pt>
                <c:pt idx="9">
                  <c:v>0.69528258808115739</c:v>
                </c:pt>
                <c:pt idx="10">
                  <c:v>0.64406795795041549</c:v>
                </c:pt>
                <c:pt idx="11">
                  <c:v>0.61905282180756016</c:v>
                </c:pt>
                <c:pt idx="12">
                  <c:v>0.59880015111792562</c:v>
                </c:pt>
                <c:pt idx="13">
                  <c:v>0.63118469116733866</c:v>
                </c:pt>
                <c:pt idx="14">
                  <c:v>0.59243200246058259</c:v>
                </c:pt>
                <c:pt idx="15">
                  <c:v>0.54782553217840591</c:v>
                </c:pt>
                <c:pt idx="16">
                  <c:v>0.47667773273672032</c:v>
                </c:pt>
                <c:pt idx="17">
                  <c:v>0.44671642418102742</c:v>
                </c:pt>
                <c:pt idx="18">
                  <c:v>0.41933689960310727</c:v>
                </c:pt>
                <c:pt idx="19">
                  <c:v>0.4289943105659666</c:v>
                </c:pt>
                <c:pt idx="20">
                  <c:v>0.42535720798449539</c:v>
                </c:pt>
                <c:pt idx="21">
                  <c:v>0.4084662328680862</c:v>
                </c:pt>
                <c:pt idx="22">
                  <c:v>0.3786620052258034</c:v>
                </c:pt>
                <c:pt idx="23">
                  <c:v>0.38598416525019075</c:v>
                </c:pt>
                <c:pt idx="24">
                  <c:v>0.38599705245833382</c:v>
                </c:pt>
                <c:pt idx="25">
                  <c:v>0.38095294620709108</c:v>
                </c:pt>
                <c:pt idx="26">
                  <c:v>0.34429371534335956</c:v>
                </c:pt>
              </c:numCache>
            </c:numRef>
          </c:val>
          <c:smooth val="0"/>
        </c:ser>
        <c:dLbls>
          <c:showLegendKey val="0"/>
          <c:showVal val="0"/>
          <c:showCatName val="0"/>
          <c:showSerName val="0"/>
          <c:showPercent val="0"/>
          <c:showBubbleSize val="0"/>
        </c:dLbls>
        <c:marker val="1"/>
        <c:smooth val="0"/>
        <c:axId val="1138324976"/>
        <c:axId val="1138324584"/>
      </c:lineChart>
      <c:catAx>
        <c:axId val="99120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324192"/>
        <c:crosses val="autoZero"/>
        <c:auto val="1"/>
        <c:lblAlgn val="ctr"/>
        <c:lblOffset val="100"/>
        <c:tickLblSkip val="5"/>
        <c:noMultiLvlLbl val="0"/>
      </c:catAx>
      <c:valAx>
        <c:axId val="113832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accent1">
                        <a:lumMod val="75000"/>
                      </a:schemeClr>
                    </a:solidFill>
                    <a:latin typeface="+mn-lt"/>
                    <a:ea typeface="+mn-ea"/>
                    <a:cs typeface="+mn-cs"/>
                  </a:defRPr>
                </a:pPr>
                <a:r>
                  <a:rPr lang="en-US" sz="1200">
                    <a:solidFill>
                      <a:schemeClr val="accent1">
                        <a:lumMod val="75000"/>
                      </a:schemeClr>
                    </a:solidFill>
                  </a:rPr>
                  <a:t>lbs./capita</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accen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75000"/>
                  </a:schemeClr>
                </a:solidFill>
                <a:latin typeface="+mn-lt"/>
                <a:ea typeface="+mn-ea"/>
                <a:cs typeface="+mn-cs"/>
              </a:defRPr>
            </a:pPr>
            <a:endParaRPr lang="en-US"/>
          </a:p>
        </c:txPr>
        <c:crossAx val="991208432"/>
        <c:crosses val="autoZero"/>
        <c:crossBetween val="between"/>
        <c:majorUnit val="10000"/>
      </c:valAx>
      <c:valAx>
        <c:axId val="1138324584"/>
        <c:scaling>
          <c:orientation val="minMax"/>
        </c:scaling>
        <c:delete val="0"/>
        <c:axPos val="r"/>
        <c:title>
          <c:tx>
            <c:rich>
              <a:bodyPr rot="-5400000" spcFirstLastPara="1" vertOverflow="ellipsis" vert="horz" wrap="square" anchor="ctr" anchorCtr="1"/>
              <a:lstStyle/>
              <a:p>
                <a:pPr>
                  <a:defRPr sz="1200" b="1" i="0" u="none" strike="noStrike" kern="1200" baseline="0">
                    <a:solidFill>
                      <a:schemeClr val="accent2"/>
                    </a:solidFill>
                    <a:latin typeface="+mn-lt"/>
                    <a:ea typeface="+mn-ea"/>
                    <a:cs typeface="+mn-cs"/>
                  </a:defRPr>
                </a:pPr>
                <a:r>
                  <a:rPr lang="en-US" sz="1200" b="1">
                    <a:solidFill>
                      <a:schemeClr val="accent2"/>
                    </a:solidFill>
                  </a:rPr>
                  <a:t>lbs./$</a:t>
                </a:r>
              </a:p>
            </c:rich>
          </c:tx>
          <c:layout/>
          <c:overlay val="0"/>
          <c:spPr>
            <a:noFill/>
            <a:ln>
              <a:noFill/>
            </a:ln>
            <a:effectLst/>
          </c:spPr>
          <c:txPr>
            <a:bodyPr rot="-5400000" spcFirstLastPara="1" vertOverflow="ellipsis" vert="horz" wrap="square" anchor="ctr" anchorCtr="1"/>
            <a:lstStyle/>
            <a:p>
              <a:pPr>
                <a:defRPr sz="1200" b="1" i="0" u="none" strike="noStrike" kern="1200" baseline="0">
                  <a:solidFill>
                    <a:schemeClr val="accent2"/>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accent2"/>
                </a:solidFill>
                <a:latin typeface="+mn-lt"/>
                <a:ea typeface="+mn-ea"/>
                <a:cs typeface="+mn-cs"/>
              </a:defRPr>
            </a:pPr>
            <a:endParaRPr lang="en-US"/>
          </a:p>
        </c:txPr>
        <c:crossAx val="1138324976"/>
        <c:crosses val="max"/>
        <c:crossBetween val="between"/>
      </c:valAx>
      <c:catAx>
        <c:axId val="1138324976"/>
        <c:scaling>
          <c:orientation val="minMax"/>
        </c:scaling>
        <c:delete val="1"/>
        <c:axPos val="b"/>
        <c:numFmt formatCode="General" sourceLinked="1"/>
        <c:majorTickMark val="out"/>
        <c:minorTickMark val="none"/>
        <c:tickLblPos val="nextTo"/>
        <c:crossAx val="1138324584"/>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0.51071</cdr:x>
      <cdr:y>0.61815</cdr:y>
    </cdr:from>
    <cdr:to>
      <cdr:x>0.62594</cdr:x>
      <cdr:y>0.6509</cdr:y>
    </cdr:to>
    <cdr:sp macro="" textlink="">
      <cdr:nvSpPr>
        <cdr:cNvPr id="9" name="TextBox 20"/>
        <cdr:cNvSpPr txBox="1"/>
      </cdr:nvSpPr>
      <cdr:spPr>
        <a:xfrm xmlns:a="http://schemas.openxmlformats.org/drawingml/2006/main">
          <a:off x="3035433" y="1871558"/>
          <a:ext cx="684881" cy="99156"/>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b="1">
              <a:solidFill>
                <a:schemeClr val="accent3"/>
              </a:solidFill>
            </a:rPr>
            <a:t>2050 Target</a:t>
          </a:r>
        </a:p>
      </cdr:txBody>
    </cdr:sp>
  </cdr:relSizeAnchor>
  <cdr:relSizeAnchor xmlns:cdr="http://schemas.openxmlformats.org/drawingml/2006/chartDrawing">
    <cdr:from>
      <cdr:x>0.52158</cdr:x>
      <cdr:y>0.25351</cdr:y>
    </cdr:from>
    <cdr:to>
      <cdr:x>0.63682</cdr:x>
      <cdr:y>0.28466</cdr:y>
    </cdr:to>
    <cdr:sp macro="" textlink="">
      <cdr:nvSpPr>
        <cdr:cNvPr id="6" name="TextBox 20"/>
        <cdr:cNvSpPr txBox="1"/>
      </cdr:nvSpPr>
      <cdr:spPr>
        <a:xfrm xmlns:a="http://schemas.openxmlformats.org/drawingml/2006/main">
          <a:off x="3100063" y="767551"/>
          <a:ext cx="684940" cy="94312"/>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b="1">
              <a:solidFill>
                <a:sysClr val="windowText" lastClr="000000"/>
              </a:solidFill>
            </a:rPr>
            <a:t>2020 Target</a:t>
          </a:r>
        </a:p>
      </cdr:txBody>
    </cdr:sp>
  </cdr:relSizeAnchor>
  <cdr:relSizeAnchor xmlns:cdr="http://schemas.openxmlformats.org/drawingml/2006/chartDrawing">
    <cdr:from>
      <cdr:x>0.52727</cdr:x>
      <cdr:y>0.37696</cdr:y>
    </cdr:from>
    <cdr:to>
      <cdr:x>0.62821</cdr:x>
      <cdr:y>0.50021</cdr:y>
    </cdr:to>
    <cdr:sp macro="" textlink="">
      <cdr:nvSpPr>
        <cdr:cNvPr id="7" name="TextBox 20"/>
        <cdr:cNvSpPr txBox="1"/>
      </cdr:nvSpPr>
      <cdr:spPr>
        <a:xfrm xmlns:a="http://schemas.openxmlformats.org/drawingml/2006/main">
          <a:off x="3133859" y="1141307"/>
          <a:ext cx="599942" cy="373167"/>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p xmlns:a="http://schemas.openxmlformats.org/drawingml/2006/main">
          <a:r>
            <a:rPr lang="en-US" sz="900"/>
            <a:t>2030 Target</a:t>
          </a:r>
        </a:p>
      </cdr:txBody>
    </cdr:sp>
  </cdr:relSizeAnchor>
</c:userShapes>
</file>

<file path=word/drawings/drawing2.xml><?xml version="1.0" encoding="utf-8"?>
<c:userShapes xmlns:c="http://schemas.openxmlformats.org/drawingml/2006/chart">
  <cdr:relSizeAnchor xmlns:cdr="http://schemas.openxmlformats.org/drawingml/2006/chartDrawing">
    <cdr:from>
      <cdr:x>0.84939</cdr:x>
      <cdr:y>0.27294</cdr:y>
    </cdr:from>
    <cdr:to>
      <cdr:x>0.99861</cdr:x>
      <cdr:y>0.31937</cdr:y>
    </cdr:to>
    <cdr:sp macro="" textlink="">
      <cdr:nvSpPr>
        <cdr:cNvPr id="3" name="TextBox 2"/>
        <cdr:cNvSpPr txBox="1"/>
      </cdr:nvSpPr>
      <cdr:spPr>
        <a:xfrm xmlns:a="http://schemas.openxmlformats.org/drawingml/2006/main">
          <a:off x="5800813" y="1623520"/>
          <a:ext cx="1019087" cy="27618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solidFill>
                <a:srgbClr val="499EA7"/>
              </a:solidFill>
            </a:rPr>
            <a:t>Transportation</a:t>
          </a:r>
        </a:p>
      </cdr:txBody>
    </cdr:sp>
  </cdr:relSizeAnchor>
  <cdr:relSizeAnchor xmlns:cdr="http://schemas.openxmlformats.org/drawingml/2006/chartDrawing">
    <cdr:from>
      <cdr:x>0.85343</cdr:x>
      <cdr:y>0.63145</cdr:y>
    </cdr:from>
    <cdr:to>
      <cdr:x>0.97228</cdr:x>
      <cdr:y>0.67788</cdr:y>
    </cdr:to>
    <cdr:sp macro="" textlink="">
      <cdr:nvSpPr>
        <cdr:cNvPr id="12" name="TextBox 1"/>
        <cdr:cNvSpPr txBox="1"/>
      </cdr:nvSpPr>
      <cdr:spPr>
        <a:xfrm xmlns:a="http://schemas.openxmlformats.org/drawingml/2006/main">
          <a:off x="6625094" y="3756079"/>
          <a:ext cx="922617" cy="27618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solidFill>
                <a:srgbClr val="684C74"/>
              </a:solidFill>
            </a:rPr>
            <a:t>Residential</a:t>
          </a:r>
        </a:p>
      </cdr:txBody>
    </cdr:sp>
  </cdr:relSizeAnchor>
  <cdr:relSizeAnchor xmlns:cdr="http://schemas.openxmlformats.org/drawingml/2006/chartDrawing">
    <cdr:from>
      <cdr:x>0.85121</cdr:x>
      <cdr:y>0.51095</cdr:y>
    </cdr:from>
    <cdr:to>
      <cdr:x>1</cdr:x>
      <cdr:y>0.55739</cdr:y>
    </cdr:to>
    <cdr:sp macro="" textlink="">
      <cdr:nvSpPr>
        <cdr:cNvPr id="14" name="TextBox 1"/>
        <cdr:cNvSpPr txBox="1"/>
      </cdr:nvSpPr>
      <cdr:spPr>
        <a:xfrm xmlns:a="http://schemas.openxmlformats.org/drawingml/2006/main">
          <a:off x="5059252" y="2326984"/>
          <a:ext cx="884348" cy="211498"/>
        </a:xfrm>
        <a:prstGeom xmlns:a="http://schemas.openxmlformats.org/drawingml/2006/main" prst="rect">
          <a:avLst/>
        </a:prstGeom>
        <a:noFill xmlns:a="http://schemas.openxmlformats.org/drawingml/2006/mai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solidFill>
                <a:schemeClr val="accent6">
                  <a:lumMod val="75000"/>
                </a:schemeClr>
              </a:solidFill>
            </a:rPr>
            <a:t>Electric power</a:t>
          </a:r>
        </a:p>
      </cdr:txBody>
    </cdr:sp>
  </cdr:relSizeAnchor>
  <cdr:relSizeAnchor xmlns:cdr="http://schemas.openxmlformats.org/drawingml/2006/chartDrawing">
    <cdr:from>
      <cdr:x>0.85278</cdr:x>
      <cdr:y>0.72057</cdr:y>
    </cdr:from>
    <cdr:to>
      <cdr:x>0.97163</cdr:x>
      <cdr:y>0.7606</cdr:y>
    </cdr:to>
    <cdr:sp macro="" textlink="">
      <cdr:nvSpPr>
        <cdr:cNvPr id="16" name="TextBox 1"/>
        <cdr:cNvSpPr txBox="1"/>
      </cdr:nvSpPr>
      <cdr:spPr>
        <a:xfrm xmlns:a="http://schemas.openxmlformats.org/drawingml/2006/main">
          <a:off x="6620025" y="4286237"/>
          <a:ext cx="922617" cy="23811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solidFill>
                <a:schemeClr val="accent2">
                  <a:lumMod val="50000"/>
                </a:schemeClr>
              </a:solidFill>
            </a:rPr>
            <a:t>Industrial</a:t>
          </a:r>
        </a:p>
      </cdr:txBody>
    </cdr:sp>
  </cdr:relSizeAnchor>
  <cdr:relSizeAnchor xmlns:cdr="http://schemas.openxmlformats.org/drawingml/2006/chartDrawing">
    <cdr:from>
      <cdr:x>0.85939</cdr:x>
      <cdr:y>0.80437</cdr:y>
    </cdr:from>
    <cdr:to>
      <cdr:x>0.97823</cdr:x>
      <cdr:y>0.85081</cdr:y>
    </cdr:to>
    <cdr:sp macro="" textlink="">
      <cdr:nvSpPr>
        <cdr:cNvPr id="17" name="TextBox 1"/>
        <cdr:cNvSpPr txBox="1"/>
      </cdr:nvSpPr>
      <cdr:spPr>
        <a:xfrm xmlns:a="http://schemas.openxmlformats.org/drawingml/2006/main">
          <a:off x="6671352" y="4784673"/>
          <a:ext cx="922540" cy="27624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solidFill>
                <a:srgbClr val="99CDD3"/>
              </a:solidFill>
            </a:rPr>
            <a:t>Waste</a:t>
          </a:r>
        </a:p>
      </cdr:txBody>
    </cdr:sp>
  </cdr:relSizeAnchor>
  <cdr:relSizeAnchor xmlns:cdr="http://schemas.openxmlformats.org/drawingml/2006/chartDrawing">
    <cdr:from>
      <cdr:x>0.85077</cdr:x>
      <cdr:y>0.86843</cdr:y>
    </cdr:from>
    <cdr:to>
      <cdr:x>0.97463</cdr:x>
      <cdr:y>0.91486</cdr:y>
    </cdr:to>
    <cdr:sp macro="" textlink="">
      <cdr:nvSpPr>
        <cdr:cNvPr id="18" name="TextBox 1"/>
        <cdr:cNvSpPr txBox="1"/>
      </cdr:nvSpPr>
      <cdr:spPr>
        <a:xfrm xmlns:a="http://schemas.openxmlformats.org/drawingml/2006/main">
          <a:off x="5810250" y="5165762"/>
          <a:ext cx="845897" cy="27618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solidFill>
                <a:schemeClr val="bg2">
                  <a:lumMod val="25000"/>
                </a:schemeClr>
              </a:solidFill>
            </a:rPr>
            <a:t>Agricultural</a:t>
          </a:r>
        </a:p>
      </cdr:txBody>
    </cdr:sp>
  </cdr:relSizeAnchor>
  <cdr:relSizeAnchor xmlns:cdr="http://schemas.openxmlformats.org/drawingml/2006/chartDrawing">
    <cdr:from>
      <cdr:x>0.8506</cdr:x>
      <cdr:y>0.74834</cdr:y>
    </cdr:from>
    <cdr:to>
      <cdr:x>0.98077</cdr:x>
      <cdr:y>0.79057</cdr:y>
    </cdr:to>
    <cdr:sp macro="" textlink="">
      <cdr:nvSpPr>
        <cdr:cNvPr id="19" name="TextBox 1"/>
        <cdr:cNvSpPr txBox="1"/>
      </cdr:nvSpPr>
      <cdr:spPr>
        <a:xfrm xmlns:a="http://schemas.openxmlformats.org/drawingml/2006/main">
          <a:off x="5055626" y="3408105"/>
          <a:ext cx="773674" cy="19234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solidFill>
                <a:schemeClr val="accent2">
                  <a:lumMod val="75000"/>
                </a:schemeClr>
              </a:solidFill>
            </a:rPr>
            <a:t>Commerical</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0E217B-A80F-45F9-B101-7B6DBF87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14976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Enright-Kato</dc:creator>
  <cp:keywords/>
  <dc:description/>
  <cp:lastModifiedBy>Keri Enright-Kato</cp:lastModifiedBy>
  <cp:revision>13</cp:revision>
  <cp:lastPrinted>2018-09-18T13:39:00Z</cp:lastPrinted>
  <dcterms:created xsi:type="dcterms:W3CDTF">2018-10-25T15:29:00Z</dcterms:created>
  <dcterms:modified xsi:type="dcterms:W3CDTF">2018-12-07T16:52:00Z</dcterms:modified>
</cp:coreProperties>
</file>