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8EC" w:rsidRDefault="003668A0" w:rsidP="00BD45C4">
      <w:pPr>
        <w:pStyle w:val="Heading1"/>
        <w:spacing w:before="0" w:after="0"/>
        <w:rPr>
          <w:rFonts w:ascii="Times New Roman" w:hAnsi="Times New Roman"/>
          <w:smallCaps/>
          <w:sz w:val="24"/>
          <w:szCs w:val="24"/>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1170940</wp:posOffset>
                </wp:positionH>
                <wp:positionV relativeFrom="paragraph">
                  <wp:posOffset>200025</wp:posOffset>
                </wp:positionV>
                <wp:extent cx="1767840" cy="1074420"/>
                <wp:effectExtent l="0" t="0" r="444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1C19" w:rsidRPr="00A10228" w:rsidRDefault="00A31C19" w:rsidP="00BD45C4">
                            <w:pPr>
                              <w:rPr>
                                <w:rFonts w:ascii="Tw Cen MT" w:hAnsi="Tw Cen MT"/>
                              </w:rPr>
                            </w:pPr>
                            <w:r w:rsidRPr="00A10228">
                              <w:rPr>
                                <w:rFonts w:ascii="Tw Cen MT" w:hAnsi="Tw Cen MT"/>
                              </w:rPr>
                              <w:t>Connecticut Department of</w:t>
                            </w:r>
                          </w:p>
                          <w:p w:rsidR="00A31C19" w:rsidRPr="001611D2" w:rsidRDefault="00A31C19" w:rsidP="00BD45C4">
                            <w:pPr>
                              <w:spacing w:after="40" w:line="240" w:lineRule="atLeast"/>
                              <w:rPr>
                                <w:rFonts w:ascii="Tw Cen MT" w:hAnsi="Tw Cen MT"/>
                                <w:sz w:val="32"/>
                                <w:szCs w:val="32"/>
                              </w:rPr>
                            </w:pPr>
                            <w:r w:rsidRPr="001611D2">
                              <w:rPr>
                                <w:rFonts w:ascii="Tw Cen MT" w:hAnsi="Tw Cen MT"/>
                                <w:sz w:val="32"/>
                                <w:szCs w:val="32"/>
                              </w:rPr>
                              <w:t>ENERGY &amp;</w:t>
                            </w:r>
                          </w:p>
                          <w:p w:rsidR="00A31C19" w:rsidRPr="001611D2" w:rsidRDefault="00A31C19" w:rsidP="00BD45C4">
                            <w:pPr>
                              <w:spacing w:after="40" w:line="240" w:lineRule="atLeast"/>
                              <w:rPr>
                                <w:rFonts w:ascii="Tw Cen MT" w:hAnsi="Tw Cen MT"/>
                                <w:spacing w:val="4"/>
                                <w:sz w:val="32"/>
                                <w:szCs w:val="32"/>
                              </w:rPr>
                            </w:pPr>
                            <w:r w:rsidRPr="001611D2">
                              <w:rPr>
                                <w:rFonts w:ascii="Tw Cen MT" w:hAnsi="Tw Cen MT"/>
                                <w:spacing w:val="4"/>
                                <w:sz w:val="32"/>
                                <w:szCs w:val="32"/>
                              </w:rPr>
                              <w:t xml:space="preserve">ENVIRONMENTAL </w:t>
                            </w:r>
                          </w:p>
                          <w:p w:rsidR="00A31C19" w:rsidRPr="001611D2" w:rsidRDefault="00A31C19" w:rsidP="00BD45C4">
                            <w:pPr>
                              <w:spacing w:after="40" w:line="240" w:lineRule="atLeast"/>
                              <w:rPr>
                                <w:rFonts w:ascii="Tw Cen MT" w:hAnsi="Tw Cen MT"/>
                                <w:spacing w:val="54"/>
                                <w:kern w:val="56"/>
                                <w:sz w:val="34"/>
                                <w:szCs w:val="32"/>
                              </w:rPr>
                            </w:pPr>
                            <w:r w:rsidRPr="001611D2">
                              <w:rPr>
                                <w:rFonts w:ascii="Tw Cen MT" w:hAnsi="Tw Cen MT"/>
                                <w:spacing w:val="54"/>
                                <w:kern w:val="56"/>
                                <w:sz w:val="34"/>
                                <w:szCs w:val="32"/>
                              </w:rPr>
                              <w:t>PROTECTION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2pt;margin-top:15.75pt;width:139.2pt;height:8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8mRtQIAALo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" filled="f" stroked="f">
                <v:textbox>
                  <w:txbxContent>
                    <w:p w:rsidR="00A31C19" w:rsidRPr="00A10228" w:rsidRDefault="00A31C19" w:rsidP="00BD45C4">
                      <w:pPr>
                        <w:rPr>
                          <w:rFonts w:ascii="Tw Cen MT" w:hAnsi="Tw Cen MT"/>
                        </w:rPr>
                      </w:pPr>
                      <w:r w:rsidRPr="00A10228">
                        <w:rPr>
                          <w:rFonts w:ascii="Tw Cen MT" w:hAnsi="Tw Cen MT"/>
                        </w:rPr>
                        <w:t>Connecticut Department of</w:t>
                      </w:r>
                    </w:p>
                    <w:p w:rsidR="00A31C19" w:rsidRPr="001611D2" w:rsidRDefault="00A31C19" w:rsidP="00BD45C4">
                      <w:pPr>
                        <w:spacing w:after="40" w:line="240" w:lineRule="atLeast"/>
                        <w:rPr>
                          <w:rFonts w:ascii="Tw Cen MT" w:hAnsi="Tw Cen MT"/>
                          <w:sz w:val="32"/>
                          <w:szCs w:val="32"/>
                        </w:rPr>
                      </w:pPr>
                      <w:r w:rsidRPr="001611D2">
                        <w:rPr>
                          <w:rFonts w:ascii="Tw Cen MT" w:hAnsi="Tw Cen MT"/>
                          <w:sz w:val="32"/>
                          <w:szCs w:val="32"/>
                        </w:rPr>
                        <w:t>ENERGY &amp;</w:t>
                      </w:r>
                    </w:p>
                    <w:p w:rsidR="00A31C19" w:rsidRPr="001611D2" w:rsidRDefault="00A31C19" w:rsidP="00BD45C4">
                      <w:pPr>
                        <w:spacing w:after="40" w:line="240" w:lineRule="atLeast"/>
                        <w:rPr>
                          <w:rFonts w:ascii="Tw Cen MT" w:hAnsi="Tw Cen MT"/>
                          <w:spacing w:val="4"/>
                          <w:sz w:val="32"/>
                          <w:szCs w:val="32"/>
                        </w:rPr>
                      </w:pPr>
                      <w:r w:rsidRPr="001611D2">
                        <w:rPr>
                          <w:rFonts w:ascii="Tw Cen MT" w:hAnsi="Tw Cen MT"/>
                          <w:spacing w:val="4"/>
                          <w:sz w:val="32"/>
                          <w:szCs w:val="32"/>
                        </w:rPr>
                        <w:t xml:space="preserve">ENVIRONMENTAL </w:t>
                      </w:r>
                    </w:p>
                    <w:p w:rsidR="00A31C19" w:rsidRPr="001611D2" w:rsidRDefault="00A31C19" w:rsidP="00BD45C4">
                      <w:pPr>
                        <w:spacing w:after="40" w:line="240" w:lineRule="atLeast"/>
                        <w:rPr>
                          <w:rFonts w:ascii="Tw Cen MT" w:hAnsi="Tw Cen MT"/>
                          <w:spacing w:val="54"/>
                          <w:kern w:val="56"/>
                          <w:sz w:val="34"/>
                          <w:szCs w:val="32"/>
                        </w:rPr>
                      </w:pPr>
                      <w:r w:rsidRPr="001611D2">
                        <w:rPr>
                          <w:rFonts w:ascii="Tw Cen MT" w:hAnsi="Tw Cen MT"/>
                          <w:spacing w:val="54"/>
                          <w:kern w:val="56"/>
                          <w:sz w:val="34"/>
                          <w:szCs w:val="32"/>
                        </w:rPr>
                        <w:t>PROTECTION</w:t>
                      </w:r>
                    </w:p>
                  </w:txbxContent>
                </v:textbox>
              </v:shape>
            </w:pict>
          </mc:Fallback>
        </mc:AlternateContent>
      </w:r>
      <w:r w:rsidR="00EB3458">
        <w:rPr>
          <w:noProof/>
        </w:rPr>
        <w:drawing>
          <wp:inline distT="0" distB="0" distL="0" distR="0">
            <wp:extent cx="124777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4793" r="7692" b="4047"/>
                    <a:stretch>
                      <a:fillRect/>
                    </a:stretch>
                  </pic:blipFill>
                  <pic:spPr bwMode="auto">
                    <a:xfrm>
                      <a:off x="0" y="0"/>
                      <a:ext cx="1247775" cy="1581150"/>
                    </a:xfrm>
                    <a:prstGeom prst="rect">
                      <a:avLst/>
                    </a:prstGeom>
                    <a:noFill/>
                    <a:ln w="9525">
                      <a:noFill/>
                      <a:miter lim="800000"/>
                      <a:headEnd/>
                      <a:tailEnd/>
                    </a:ln>
                  </pic:spPr>
                </pic:pic>
              </a:graphicData>
            </a:graphic>
          </wp:inline>
        </w:drawing>
      </w:r>
    </w:p>
    <w:p w:rsidR="006948EC" w:rsidRPr="00515418" w:rsidRDefault="006948EC" w:rsidP="00AD73BD">
      <w:pPr>
        <w:pStyle w:val="Heading1"/>
        <w:spacing w:before="0" w:after="0"/>
        <w:jc w:val="center"/>
        <w:rPr>
          <w:rFonts w:ascii="Times New Roman" w:hAnsi="Times New Roman"/>
          <w:smallCaps/>
          <w:u w:val="single"/>
        </w:rPr>
      </w:pPr>
      <w:r w:rsidRPr="00515418">
        <w:rPr>
          <w:rFonts w:ascii="Times New Roman" w:hAnsi="Times New Roman"/>
          <w:smallCaps/>
          <w:u w:val="single"/>
        </w:rPr>
        <w:t>Small Business Impact</w:t>
      </w:r>
    </w:p>
    <w:p w:rsidR="006948EC" w:rsidRPr="00515418" w:rsidRDefault="006948EC" w:rsidP="006948EC"/>
    <w:p w:rsidR="006948EC" w:rsidRPr="00515418" w:rsidRDefault="006948EC" w:rsidP="006948EC">
      <w:pPr>
        <w:pStyle w:val="BodyText"/>
        <w:rPr>
          <w:sz w:val="22"/>
          <w:szCs w:val="22"/>
        </w:rPr>
      </w:pPr>
      <w:r w:rsidRPr="00515418">
        <w:rPr>
          <w:sz w:val="22"/>
          <w:szCs w:val="22"/>
        </w:rPr>
        <w:t>Prior to adopting a new section or amendment, section 4-168</w:t>
      </w:r>
      <w:smartTag w:uri="urn:schemas-microsoft-com:office:smarttags" w:element="PersonName">
        <w:r w:rsidRPr="00515418">
          <w:rPr>
            <w:sz w:val="22"/>
            <w:szCs w:val="22"/>
          </w:rPr>
          <w:t>a o</w:t>
        </w:r>
      </w:smartTag>
      <w:r w:rsidRPr="00515418">
        <w:rPr>
          <w:sz w:val="22"/>
          <w:szCs w:val="22"/>
        </w:rPr>
        <w:t>f the Connecticut General Statutes (CGS) requires that each state agency consider the effect of such action on small businesses as defined in CGS section 4-168a.</w:t>
      </w:r>
      <w:r w:rsidR="005C4CED">
        <w:rPr>
          <w:sz w:val="22"/>
          <w:szCs w:val="22"/>
        </w:rPr>
        <w:t xml:space="preserve"> </w:t>
      </w:r>
      <w:r w:rsidRPr="00515418">
        <w:rPr>
          <w:sz w:val="22"/>
          <w:szCs w:val="22"/>
        </w:rPr>
        <w:t>When such regulatory action may have an adverse effect on small businesses, CGS section 4-168a directs the agency to consider regulatory requirements that will minimize the adverse impacts on small businesses if the addition of such requirements (1) will not interfere with the intended objectives of the regulatory action and (2) will allow the new section or amendment to remain consistent with public health, safety and welfare.</w:t>
      </w:r>
      <w:r w:rsidR="005C4CED">
        <w:rPr>
          <w:sz w:val="22"/>
          <w:szCs w:val="22"/>
        </w:rPr>
        <w:t xml:space="preserve"> </w:t>
      </w:r>
    </w:p>
    <w:p w:rsidR="006948EC" w:rsidRPr="00515418" w:rsidRDefault="006948EC" w:rsidP="006948EC">
      <w:pPr>
        <w:pStyle w:val="BodyText"/>
        <w:rPr>
          <w:sz w:val="22"/>
          <w:szCs w:val="22"/>
        </w:rPr>
      </w:pPr>
    </w:p>
    <w:p w:rsidR="006948EC" w:rsidRPr="00515418" w:rsidRDefault="006948EC" w:rsidP="006948EC">
      <w:pPr>
        <w:pStyle w:val="BodyText"/>
        <w:rPr>
          <w:sz w:val="22"/>
          <w:szCs w:val="22"/>
          <w:u w:val="single"/>
        </w:rPr>
      </w:pPr>
      <w:r w:rsidRPr="00515418">
        <w:rPr>
          <w:sz w:val="22"/>
          <w:szCs w:val="22"/>
        </w:rPr>
        <w:t>State Agency Submitting Proposal:</w:t>
      </w:r>
      <w:r w:rsidR="005C4CED">
        <w:rPr>
          <w:sz w:val="22"/>
          <w:szCs w:val="22"/>
        </w:rPr>
        <w:t xml:space="preserve"> </w:t>
      </w:r>
      <w:r w:rsidRPr="00515418">
        <w:rPr>
          <w:sz w:val="22"/>
          <w:szCs w:val="22"/>
        </w:rPr>
        <w:tab/>
      </w:r>
      <w:r w:rsidRPr="00515418">
        <w:rPr>
          <w:sz w:val="22"/>
          <w:szCs w:val="22"/>
          <w:u w:val="single"/>
        </w:rPr>
        <w:t>Energy and Environmental Protection (DEEP)</w:t>
      </w:r>
      <w:r w:rsidR="005C4CED">
        <w:rPr>
          <w:sz w:val="22"/>
          <w:szCs w:val="22"/>
          <w:u w:val="single"/>
        </w:rPr>
        <w:t xml:space="preserve"> </w:t>
      </w:r>
    </w:p>
    <w:p w:rsidR="006948EC" w:rsidRPr="00515418" w:rsidRDefault="006948EC" w:rsidP="006948EC">
      <w:pPr>
        <w:pStyle w:val="BodyText"/>
        <w:rPr>
          <w:sz w:val="22"/>
          <w:szCs w:val="22"/>
          <w:u w:val="single"/>
        </w:rPr>
      </w:pPr>
    </w:p>
    <w:p w:rsidR="006948EC" w:rsidRPr="00515418" w:rsidRDefault="006948EC" w:rsidP="00CD2804">
      <w:pPr>
        <w:pStyle w:val="BodyText"/>
        <w:rPr>
          <w:sz w:val="22"/>
          <w:szCs w:val="22"/>
        </w:rPr>
      </w:pPr>
      <w:r w:rsidRPr="00515418">
        <w:rPr>
          <w:sz w:val="22"/>
          <w:szCs w:val="22"/>
        </w:rPr>
        <w:t>Subject of the Proposal:</w:t>
      </w:r>
      <w:r w:rsidRPr="00515418">
        <w:rPr>
          <w:sz w:val="22"/>
          <w:szCs w:val="22"/>
        </w:rPr>
        <w:tab/>
      </w:r>
      <w:r w:rsidRPr="00515418">
        <w:rPr>
          <w:sz w:val="22"/>
          <w:szCs w:val="22"/>
        </w:rPr>
        <w:tab/>
      </w:r>
      <w:r w:rsidRPr="00515418">
        <w:rPr>
          <w:sz w:val="22"/>
          <w:szCs w:val="22"/>
        </w:rPr>
        <w:tab/>
      </w:r>
      <w:r w:rsidR="009953EC" w:rsidRPr="009953EC">
        <w:rPr>
          <w:sz w:val="22"/>
          <w:szCs w:val="22"/>
          <w:u w:val="single"/>
        </w:rPr>
        <w:t xml:space="preserve">Amendments </w:t>
      </w:r>
      <w:r w:rsidR="00CD2804">
        <w:rPr>
          <w:sz w:val="22"/>
          <w:szCs w:val="22"/>
          <w:u w:val="single"/>
        </w:rPr>
        <w:t>of RCSA Section 22a-174-31</w:t>
      </w:r>
    </w:p>
    <w:p w:rsidR="006948EC" w:rsidRPr="00515418" w:rsidRDefault="006948EC" w:rsidP="006948EC">
      <w:pPr>
        <w:pStyle w:val="BodyText"/>
        <w:rPr>
          <w:sz w:val="22"/>
          <w:szCs w:val="22"/>
        </w:rPr>
      </w:pPr>
    </w:p>
    <w:p w:rsidR="006948EC" w:rsidRPr="00515418" w:rsidRDefault="006948EC" w:rsidP="006948EC">
      <w:pPr>
        <w:pStyle w:val="BodyText"/>
        <w:rPr>
          <w:sz w:val="22"/>
          <w:szCs w:val="22"/>
        </w:rPr>
      </w:pPr>
      <w:r w:rsidRPr="00515418">
        <w:rPr>
          <w:sz w:val="22"/>
          <w:szCs w:val="22"/>
        </w:rPr>
        <w:t xml:space="preserve">In accordance with CGS section 4-168a, staff analyzed the effect on small businesses of the proposal and determined the following: </w:t>
      </w:r>
    </w:p>
    <w:p w:rsidR="006948EC" w:rsidRPr="00515418" w:rsidRDefault="006948EC" w:rsidP="006948EC">
      <w:pPr>
        <w:pStyle w:val="BodyText"/>
        <w:rPr>
          <w:sz w:val="22"/>
          <w:szCs w:val="22"/>
          <w:u w:val="single"/>
        </w:rPr>
      </w:pPr>
    </w:p>
    <w:p w:rsidR="006948EC" w:rsidRPr="00515418" w:rsidRDefault="006948EC" w:rsidP="006948EC">
      <w:pPr>
        <w:pStyle w:val="BodyText"/>
        <w:rPr>
          <w:sz w:val="22"/>
          <w:szCs w:val="22"/>
          <w:u w:val="single"/>
        </w:rPr>
      </w:pPr>
      <w:r w:rsidRPr="00515418">
        <w:rPr>
          <w:sz w:val="22"/>
          <w:szCs w:val="22"/>
          <w:u w:val="single"/>
        </w:rPr>
        <w:t>Check all appropriate boxes:</w:t>
      </w:r>
    </w:p>
    <w:p w:rsidR="006948EC" w:rsidRPr="00515418" w:rsidRDefault="006948EC" w:rsidP="006948EC">
      <w:pPr>
        <w:pStyle w:val="BodyText"/>
        <w:rPr>
          <w:sz w:val="22"/>
          <w:szCs w:val="22"/>
        </w:rPr>
      </w:pPr>
    </w:p>
    <w:p w:rsidR="006948EC" w:rsidRPr="00515418" w:rsidRDefault="005C4CED" w:rsidP="006948EC">
      <w:pPr>
        <w:pStyle w:val="BodyText"/>
        <w:rPr>
          <w:sz w:val="22"/>
          <w:szCs w:val="22"/>
        </w:rPr>
      </w:pPr>
      <w:r>
        <w:rPr>
          <w:sz w:val="22"/>
          <w:szCs w:val="22"/>
          <w:bdr w:val="single" w:sz="4" w:space="0" w:color="auto"/>
        </w:rPr>
        <w:t xml:space="preserve"> </w:t>
      </w:r>
      <w:r w:rsidR="006948EC" w:rsidRPr="00515418">
        <w:rPr>
          <w:sz w:val="22"/>
          <w:szCs w:val="22"/>
        </w:rPr>
        <w:tab/>
        <w:t>The proposal will not have an effect on small businesses.</w:t>
      </w:r>
      <w:r>
        <w:rPr>
          <w:sz w:val="22"/>
          <w:szCs w:val="22"/>
        </w:rPr>
        <w:t xml:space="preserve"> </w:t>
      </w:r>
    </w:p>
    <w:p w:rsidR="006948EC" w:rsidRPr="00515418" w:rsidRDefault="006948EC" w:rsidP="006948EC">
      <w:pPr>
        <w:pStyle w:val="BodyText"/>
        <w:rPr>
          <w:sz w:val="22"/>
          <w:szCs w:val="22"/>
        </w:rPr>
      </w:pPr>
    </w:p>
    <w:p w:rsidR="006948EC" w:rsidRPr="00515418" w:rsidRDefault="006948EC" w:rsidP="006948EC">
      <w:pPr>
        <w:pStyle w:val="BodyText"/>
        <w:ind w:left="720" w:hanging="720"/>
        <w:rPr>
          <w:sz w:val="22"/>
          <w:szCs w:val="22"/>
        </w:rPr>
      </w:pPr>
      <w:r w:rsidRPr="00515418">
        <w:rPr>
          <w:sz w:val="22"/>
          <w:szCs w:val="22"/>
          <w:bdr w:val="single" w:sz="4" w:space="0" w:color="auto"/>
        </w:rPr>
        <w:t xml:space="preserve"> </w:t>
      </w:r>
      <w:r w:rsidR="006562A9" w:rsidRPr="00515418">
        <w:rPr>
          <w:sz w:val="22"/>
          <w:szCs w:val="22"/>
          <w:bdr w:val="single" w:sz="4" w:space="0" w:color="auto"/>
        </w:rPr>
        <w:t>X</w:t>
      </w:r>
      <w:r w:rsidRPr="00515418">
        <w:rPr>
          <w:sz w:val="22"/>
          <w:szCs w:val="22"/>
          <w:bdr w:val="single" w:sz="4" w:space="0" w:color="auto"/>
        </w:rPr>
        <w:t xml:space="preserve"> </w:t>
      </w:r>
      <w:r w:rsidRPr="00515418">
        <w:rPr>
          <w:sz w:val="22"/>
          <w:szCs w:val="22"/>
        </w:rPr>
        <w:tab/>
        <w:t>The proposal will have an effect on small businesses, but will not have an adverse effect on such small businesses.</w:t>
      </w:r>
      <w:r w:rsidR="005C4CED">
        <w:rPr>
          <w:b/>
          <w:bCs/>
          <w:sz w:val="22"/>
          <w:szCs w:val="22"/>
        </w:rPr>
        <w:t xml:space="preserve"> </w:t>
      </w:r>
    </w:p>
    <w:p w:rsidR="006948EC" w:rsidRPr="00515418" w:rsidRDefault="006948EC" w:rsidP="006948EC">
      <w:pPr>
        <w:pStyle w:val="BodyText"/>
        <w:ind w:left="1440"/>
        <w:rPr>
          <w:sz w:val="22"/>
          <w:szCs w:val="22"/>
        </w:rPr>
      </w:pPr>
    </w:p>
    <w:p w:rsidR="006948EC" w:rsidRPr="00515418" w:rsidRDefault="005C4CED" w:rsidP="006948EC">
      <w:pPr>
        <w:pStyle w:val="BodyText"/>
        <w:ind w:left="720" w:hanging="720"/>
        <w:rPr>
          <w:sz w:val="22"/>
          <w:szCs w:val="22"/>
        </w:rPr>
      </w:pPr>
      <w:r>
        <w:rPr>
          <w:sz w:val="22"/>
          <w:szCs w:val="22"/>
          <w:bdr w:val="single" w:sz="4" w:space="0" w:color="auto"/>
        </w:rPr>
        <w:t xml:space="preserve"> </w:t>
      </w:r>
      <w:r w:rsidR="006948EC" w:rsidRPr="00515418">
        <w:rPr>
          <w:sz w:val="22"/>
          <w:szCs w:val="22"/>
        </w:rPr>
        <w:tab/>
        <w:t>The proposal may have an adverse effect on small businesses, and no alternative considered would be both as effective in achieving the purpose of the action and less burdensome to potentially affected small business.</w:t>
      </w:r>
      <w:r>
        <w:rPr>
          <w:sz w:val="22"/>
          <w:szCs w:val="22"/>
        </w:rPr>
        <w:t xml:space="preserve"> </w:t>
      </w:r>
      <w:r w:rsidR="006948EC" w:rsidRPr="00515418">
        <w:rPr>
          <w:sz w:val="22"/>
          <w:szCs w:val="22"/>
        </w:rPr>
        <w:t>Alternatives considered include the following:</w:t>
      </w:r>
    </w:p>
    <w:p w:rsidR="006948EC" w:rsidRPr="00515418" w:rsidRDefault="006948EC" w:rsidP="006948EC">
      <w:pPr>
        <w:ind w:left="2160" w:hanging="720"/>
        <w:rPr>
          <w:sz w:val="22"/>
          <w:szCs w:val="22"/>
        </w:rPr>
      </w:pPr>
      <w:r w:rsidRPr="00515418">
        <w:rPr>
          <w:sz w:val="22"/>
          <w:szCs w:val="22"/>
        </w:rPr>
        <w:t>(1)</w:t>
      </w:r>
      <w:r w:rsidR="005C4CED">
        <w:rPr>
          <w:sz w:val="22"/>
          <w:szCs w:val="22"/>
        </w:rPr>
        <w:t xml:space="preserve"> </w:t>
      </w:r>
      <w:r w:rsidRPr="00515418">
        <w:rPr>
          <w:sz w:val="22"/>
          <w:szCs w:val="22"/>
        </w:rPr>
        <w:tab/>
        <w:t xml:space="preserve">The establishment of less stringent compliance or reporting requirements for small businesses; </w:t>
      </w:r>
    </w:p>
    <w:p w:rsidR="006948EC" w:rsidRPr="00515418" w:rsidRDefault="006948EC" w:rsidP="006948EC">
      <w:pPr>
        <w:ind w:left="2160" w:hanging="720"/>
        <w:rPr>
          <w:sz w:val="22"/>
          <w:szCs w:val="22"/>
        </w:rPr>
      </w:pPr>
      <w:r w:rsidRPr="00515418">
        <w:rPr>
          <w:sz w:val="22"/>
          <w:szCs w:val="22"/>
        </w:rPr>
        <w:t xml:space="preserve">(2) </w:t>
      </w:r>
      <w:r w:rsidRPr="00515418">
        <w:rPr>
          <w:sz w:val="22"/>
          <w:szCs w:val="22"/>
        </w:rPr>
        <w:tab/>
        <w:t xml:space="preserve">The establishment of less stringent schedules or deadlines for compliance or reporting requirements for small businesses; </w:t>
      </w:r>
    </w:p>
    <w:p w:rsidR="006948EC" w:rsidRPr="00515418" w:rsidRDefault="006948EC" w:rsidP="006948EC">
      <w:pPr>
        <w:ind w:left="2160" w:hanging="720"/>
        <w:rPr>
          <w:sz w:val="22"/>
          <w:szCs w:val="22"/>
        </w:rPr>
      </w:pPr>
      <w:r w:rsidRPr="00515418">
        <w:rPr>
          <w:sz w:val="22"/>
          <w:szCs w:val="22"/>
        </w:rPr>
        <w:t>(3)</w:t>
      </w:r>
      <w:r w:rsidRPr="00515418">
        <w:rPr>
          <w:sz w:val="22"/>
          <w:szCs w:val="22"/>
        </w:rPr>
        <w:tab/>
        <w:t xml:space="preserve">The consolidation or simplification of compliance or reporting requirements for small businesses; </w:t>
      </w:r>
    </w:p>
    <w:p w:rsidR="006948EC" w:rsidRPr="00515418" w:rsidRDefault="006948EC" w:rsidP="006948EC">
      <w:pPr>
        <w:ind w:left="2160" w:hanging="720"/>
        <w:rPr>
          <w:sz w:val="22"/>
          <w:szCs w:val="22"/>
        </w:rPr>
      </w:pPr>
      <w:r w:rsidRPr="00515418">
        <w:rPr>
          <w:sz w:val="22"/>
          <w:szCs w:val="22"/>
        </w:rPr>
        <w:t>(4)</w:t>
      </w:r>
      <w:r w:rsidRPr="00515418">
        <w:rPr>
          <w:sz w:val="22"/>
          <w:szCs w:val="22"/>
        </w:rPr>
        <w:tab/>
        <w:t xml:space="preserve">The establishment of performance standards for small businesses to replace design or operational standards required in the new section or amendment; and </w:t>
      </w:r>
    </w:p>
    <w:p w:rsidR="006948EC" w:rsidRPr="00515418" w:rsidRDefault="006948EC" w:rsidP="006948EC">
      <w:pPr>
        <w:ind w:left="2160" w:hanging="720"/>
        <w:rPr>
          <w:sz w:val="22"/>
          <w:szCs w:val="22"/>
        </w:rPr>
      </w:pPr>
      <w:r w:rsidRPr="00515418">
        <w:rPr>
          <w:sz w:val="22"/>
          <w:szCs w:val="22"/>
        </w:rPr>
        <w:t xml:space="preserve">(5) </w:t>
      </w:r>
      <w:r w:rsidRPr="00515418">
        <w:rPr>
          <w:sz w:val="22"/>
          <w:szCs w:val="22"/>
        </w:rPr>
        <w:tab/>
        <w:t>The exemption of small businesses from all or any part of the requirements contained in the new section or amendment.</w:t>
      </w:r>
      <w:r w:rsidR="005C4CED">
        <w:rPr>
          <w:sz w:val="22"/>
          <w:szCs w:val="22"/>
        </w:rPr>
        <w:t xml:space="preserve"> </w:t>
      </w:r>
    </w:p>
    <w:p w:rsidR="006948EC" w:rsidRPr="00515418" w:rsidRDefault="006948EC" w:rsidP="006948EC">
      <w:pPr>
        <w:rPr>
          <w:sz w:val="22"/>
          <w:szCs w:val="22"/>
        </w:rPr>
      </w:pPr>
    </w:p>
    <w:p w:rsidR="006948EC" w:rsidRPr="00515418" w:rsidRDefault="005C4CED" w:rsidP="006948EC">
      <w:pPr>
        <w:pStyle w:val="BodyText"/>
        <w:ind w:left="720" w:hanging="720"/>
        <w:rPr>
          <w:sz w:val="22"/>
          <w:szCs w:val="22"/>
        </w:rPr>
      </w:pPr>
      <w:r>
        <w:rPr>
          <w:sz w:val="22"/>
          <w:szCs w:val="22"/>
          <w:bdr w:val="single" w:sz="4" w:space="0" w:color="auto"/>
        </w:rPr>
        <w:t xml:space="preserve"> </w:t>
      </w:r>
      <w:r w:rsidR="006948EC" w:rsidRPr="00515418">
        <w:rPr>
          <w:sz w:val="22"/>
          <w:szCs w:val="22"/>
        </w:rPr>
        <w:tab/>
        <w:t xml:space="preserve">The proposal will have an adverse effect on small businesses that cannot be minimized in a manner that is consistent with public health, safety and welfare. </w:t>
      </w:r>
    </w:p>
    <w:p w:rsidR="006948EC" w:rsidRPr="00515418" w:rsidRDefault="006948EC" w:rsidP="006948EC">
      <w:pPr>
        <w:rPr>
          <w:b/>
          <w:bCs/>
          <w:sz w:val="24"/>
          <w:szCs w:val="24"/>
        </w:rPr>
      </w:pPr>
    </w:p>
    <w:p w:rsidR="009A60CD" w:rsidRPr="00515418" w:rsidRDefault="009A60CD" w:rsidP="006948EC">
      <w:pPr>
        <w:rPr>
          <w:b/>
          <w:bCs/>
          <w:sz w:val="24"/>
          <w:szCs w:val="24"/>
        </w:rPr>
      </w:pPr>
    </w:p>
    <w:p w:rsidR="009A60CD" w:rsidRPr="00515418" w:rsidRDefault="009A60CD" w:rsidP="006948EC">
      <w:pPr>
        <w:rPr>
          <w:b/>
          <w:bCs/>
          <w:sz w:val="24"/>
          <w:szCs w:val="24"/>
        </w:rPr>
      </w:pPr>
    </w:p>
    <w:p w:rsidR="00222B46" w:rsidRPr="00515418" w:rsidRDefault="00222B46" w:rsidP="006948EC">
      <w:pPr>
        <w:rPr>
          <w:b/>
          <w:bCs/>
          <w:sz w:val="24"/>
          <w:szCs w:val="24"/>
        </w:rPr>
      </w:pPr>
    </w:p>
    <w:p w:rsidR="00222B46" w:rsidRPr="00515418" w:rsidRDefault="00222B46" w:rsidP="006948EC">
      <w:pPr>
        <w:rPr>
          <w:b/>
          <w:bCs/>
          <w:sz w:val="24"/>
          <w:szCs w:val="24"/>
        </w:rPr>
      </w:pPr>
    </w:p>
    <w:p w:rsidR="00222B46" w:rsidRPr="00515418" w:rsidRDefault="00222B46" w:rsidP="006948EC">
      <w:pPr>
        <w:rPr>
          <w:b/>
          <w:bCs/>
          <w:sz w:val="24"/>
          <w:szCs w:val="24"/>
        </w:rPr>
      </w:pPr>
    </w:p>
    <w:p w:rsidR="00AD73BD" w:rsidRPr="00515418" w:rsidRDefault="006948EC" w:rsidP="006948EC">
      <w:pPr>
        <w:rPr>
          <w:b/>
          <w:bCs/>
          <w:sz w:val="24"/>
          <w:szCs w:val="24"/>
        </w:rPr>
      </w:pPr>
      <w:r w:rsidRPr="00515418">
        <w:rPr>
          <w:b/>
          <w:bCs/>
          <w:sz w:val="24"/>
          <w:szCs w:val="24"/>
        </w:rPr>
        <w:t>Explanation:</w:t>
      </w:r>
      <w:r w:rsidR="005C4CED">
        <w:rPr>
          <w:b/>
          <w:bCs/>
          <w:sz w:val="24"/>
          <w:szCs w:val="24"/>
        </w:rPr>
        <w:t xml:space="preserve"> </w:t>
      </w:r>
    </w:p>
    <w:p w:rsidR="009A60CD" w:rsidRPr="00515418" w:rsidRDefault="009A60CD" w:rsidP="006948EC">
      <w:pPr>
        <w:rPr>
          <w:sz w:val="24"/>
          <w:szCs w:val="24"/>
        </w:rPr>
      </w:pPr>
    </w:p>
    <w:p w:rsidR="009A60CD" w:rsidRPr="00515418" w:rsidRDefault="009A60CD" w:rsidP="006948EC">
      <w:pPr>
        <w:rPr>
          <w:b/>
          <w:sz w:val="24"/>
          <w:szCs w:val="24"/>
        </w:rPr>
      </w:pPr>
      <w:r w:rsidRPr="00515418">
        <w:rPr>
          <w:b/>
          <w:sz w:val="24"/>
          <w:szCs w:val="24"/>
        </w:rPr>
        <w:t>A. Overview</w:t>
      </w:r>
    </w:p>
    <w:p w:rsidR="009A60CD" w:rsidRPr="00515418" w:rsidRDefault="009A60CD" w:rsidP="006948EC">
      <w:pPr>
        <w:rPr>
          <w:sz w:val="24"/>
          <w:szCs w:val="24"/>
        </w:rPr>
      </w:pPr>
    </w:p>
    <w:p w:rsidR="00A9232F" w:rsidRPr="00515418" w:rsidRDefault="006562A9" w:rsidP="006948EC">
      <w:pPr>
        <w:rPr>
          <w:sz w:val="24"/>
          <w:szCs w:val="24"/>
        </w:rPr>
      </w:pPr>
      <w:r w:rsidRPr="00515418">
        <w:rPr>
          <w:sz w:val="24"/>
          <w:szCs w:val="24"/>
        </w:rPr>
        <w:t xml:space="preserve">The proposal </w:t>
      </w:r>
      <w:r w:rsidR="00FB082E" w:rsidRPr="00515418">
        <w:rPr>
          <w:sz w:val="24"/>
          <w:szCs w:val="24"/>
        </w:rPr>
        <w:t xml:space="preserve">makes changes to </w:t>
      </w:r>
      <w:r w:rsidR="003668A0">
        <w:rPr>
          <w:sz w:val="24"/>
          <w:szCs w:val="24"/>
        </w:rPr>
        <w:t xml:space="preserve">the </w:t>
      </w:r>
      <w:r w:rsidR="00FB082E" w:rsidRPr="00515418">
        <w:rPr>
          <w:sz w:val="24"/>
          <w:szCs w:val="24"/>
        </w:rPr>
        <w:t xml:space="preserve">existing </w:t>
      </w:r>
      <w:r w:rsidR="009953EC">
        <w:rPr>
          <w:sz w:val="24"/>
          <w:szCs w:val="24"/>
        </w:rPr>
        <w:t>Section 22a-174-31 of the Regulations of Connecticut State Agencies.</w:t>
      </w:r>
      <w:r w:rsidR="005C4CED">
        <w:rPr>
          <w:sz w:val="24"/>
          <w:szCs w:val="24"/>
        </w:rPr>
        <w:t xml:space="preserve"> </w:t>
      </w:r>
      <w:r w:rsidR="00A9232F" w:rsidRPr="00515418">
        <w:rPr>
          <w:sz w:val="24"/>
          <w:szCs w:val="24"/>
        </w:rPr>
        <w:t>The amendments will have an effect on</w:t>
      </w:r>
      <w:r w:rsidR="003668A0">
        <w:rPr>
          <w:sz w:val="24"/>
          <w:szCs w:val="24"/>
        </w:rPr>
        <w:t xml:space="preserve"> </w:t>
      </w:r>
      <w:r w:rsidR="009953EC">
        <w:rPr>
          <w:sz w:val="24"/>
          <w:szCs w:val="24"/>
        </w:rPr>
        <w:t>fossil fuel electricity g</w:t>
      </w:r>
      <w:r w:rsidR="003668A0">
        <w:rPr>
          <w:sz w:val="24"/>
          <w:szCs w:val="24"/>
        </w:rPr>
        <w:t>enerators</w:t>
      </w:r>
      <w:r w:rsidR="009953EC">
        <w:rPr>
          <w:sz w:val="24"/>
          <w:szCs w:val="24"/>
        </w:rPr>
        <w:t xml:space="preserve"> operating in the State of Connecticut</w:t>
      </w:r>
      <w:r w:rsidR="00A9232F" w:rsidRPr="00515418">
        <w:rPr>
          <w:sz w:val="24"/>
          <w:szCs w:val="24"/>
        </w:rPr>
        <w:t>.</w:t>
      </w:r>
      <w:r w:rsidR="005C4CED">
        <w:rPr>
          <w:sz w:val="24"/>
          <w:szCs w:val="24"/>
        </w:rPr>
        <w:t xml:space="preserve"> </w:t>
      </w:r>
      <w:r w:rsidR="00A9232F" w:rsidRPr="00515418">
        <w:rPr>
          <w:sz w:val="24"/>
          <w:szCs w:val="24"/>
        </w:rPr>
        <w:t xml:space="preserve">However, the </w:t>
      </w:r>
      <w:r w:rsidR="003668A0">
        <w:rPr>
          <w:sz w:val="24"/>
          <w:szCs w:val="24"/>
        </w:rPr>
        <w:t xml:space="preserve">program proceeds </w:t>
      </w:r>
      <w:r w:rsidR="00A9232F" w:rsidRPr="00515418">
        <w:rPr>
          <w:sz w:val="24"/>
          <w:szCs w:val="24"/>
        </w:rPr>
        <w:t xml:space="preserve">that will </w:t>
      </w:r>
      <w:r w:rsidR="003668A0">
        <w:rPr>
          <w:sz w:val="24"/>
          <w:szCs w:val="24"/>
        </w:rPr>
        <w:t xml:space="preserve">continue to </w:t>
      </w:r>
      <w:r w:rsidR="00A9232F" w:rsidRPr="00515418">
        <w:rPr>
          <w:sz w:val="24"/>
          <w:szCs w:val="24"/>
        </w:rPr>
        <w:t>be used to</w:t>
      </w:r>
      <w:r w:rsidR="003668A0">
        <w:rPr>
          <w:sz w:val="24"/>
          <w:szCs w:val="24"/>
        </w:rPr>
        <w:t xml:space="preserve"> support energy </w:t>
      </w:r>
      <w:r w:rsidR="005C4CED">
        <w:rPr>
          <w:sz w:val="24"/>
          <w:szCs w:val="24"/>
        </w:rPr>
        <w:t xml:space="preserve">efficiency programs and clean </w:t>
      </w:r>
      <w:r w:rsidR="003668A0">
        <w:rPr>
          <w:sz w:val="24"/>
          <w:szCs w:val="24"/>
        </w:rPr>
        <w:t>energy</w:t>
      </w:r>
      <w:r w:rsidR="00A9232F" w:rsidRPr="00515418">
        <w:rPr>
          <w:sz w:val="24"/>
          <w:szCs w:val="24"/>
        </w:rPr>
        <w:t xml:space="preserve"> will also </w:t>
      </w:r>
      <w:r w:rsidR="003668A0">
        <w:rPr>
          <w:sz w:val="24"/>
          <w:szCs w:val="24"/>
        </w:rPr>
        <w:t xml:space="preserve">create downward pressure on electric rates and energy </w:t>
      </w:r>
      <w:r w:rsidR="00A9232F" w:rsidRPr="00515418">
        <w:rPr>
          <w:sz w:val="24"/>
          <w:szCs w:val="24"/>
        </w:rPr>
        <w:t>consumption for consumers</w:t>
      </w:r>
      <w:r w:rsidR="00416E5C" w:rsidRPr="00515418">
        <w:rPr>
          <w:sz w:val="24"/>
          <w:szCs w:val="24"/>
        </w:rPr>
        <w:t>, far outweighing the initial cost to consumers</w:t>
      </w:r>
      <w:r w:rsidR="00A9232F" w:rsidRPr="00515418">
        <w:rPr>
          <w:sz w:val="24"/>
          <w:szCs w:val="24"/>
        </w:rPr>
        <w:t>.</w:t>
      </w:r>
      <w:r w:rsidR="005C4CED">
        <w:rPr>
          <w:sz w:val="24"/>
          <w:szCs w:val="24"/>
        </w:rPr>
        <w:t xml:space="preserve"> </w:t>
      </w:r>
    </w:p>
    <w:p w:rsidR="00A9232F" w:rsidRPr="00515418" w:rsidRDefault="00A9232F" w:rsidP="006948EC">
      <w:pPr>
        <w:rPr>
          <w:sz w:val="24"/>
          <w:szCs w:val="24"/>
        </w:rPr>
      </w:pPr>
    </w:p>
    <w:p w:rsidR="00A9232F" w:rsidRPr="00515418" w:rsidRDefault="00A9232F" w:rsidP="006948EC">
      <w:pPr>
        <w:rPr>
          <w:b/>
          <w:sz w:val="24"/>
          <w:szCs w:val="24"/>
        </w:rPr>
      </w:pPr>
      <w:r w:rsidRPr="00515418">
        <w:rPr>
          <w:b/>
          <w:sz w:val="24"/>
          <w:szCs w:val="24"/>
        </w:rPr>
        <w:t xml:space="preserve">B. </w:t>
      </w:r>
      <w:r w:rsidR="003668A0">
        <w:rPr>
          <w:b/>
          <w:sz w:val="24"/>
          <w:szCs w:val="24"/>
        </w:rPr>
        <w:t>Rate Impact</w:t>
      </w:r>
    </w:p>
    <w:p w:rsidR="00A9232F" w:rsidRDefault="00A9232F" w:rsidP="006948EC">
      <w:pPr>
        <w:rPr>
          <w:sz w:val="24"/>
          <w:szCs w:val="24"/>
        </w:rPr>
      </w:pPr>
    </w:p>
    <w:p w:rsidR="006175BB" w:rsidRDefault="006175BB" w:rsidP="006175BB">
      <w:pPr>
        <w:autoSpaceDE w:val="0"/>
        <w:autoSpaceDN w:val="0"/>
        <w:adjustRightInd w:val="0"/>
        <w:rPr>
          <w:rFonts w:eastAsia="Calibri"/>
          <w:color w:val="auto"/>
          <w:sz w:val="24"/>
          <w:szCs w:val="24"/>
        </w:rPr>
      </w:pPr>
      <w:r>
        <w:rPr>
          <w:rFonts w:eastAsia="Calibri"/>
          <w:color w:val="auto"/>
          <w:sz w:val="24"/>
          <w:szCs w:val="24"/>
        </w:rPr>
        <w:t>The original nine R</w:t>
      </w:r>
      <w:r w:rsidR="00EC0C26">
        <w:rPr>
          <w:rFonts w:eastAsia="Calibri"/>
          <w:color w:val="auto"/>
          <w:sz w:val="24"/>
          <w:szCs w:val="24"/>
        </w:rPr>
        <w:t xml:space="preserve">egion </w:t>
      </w:r>
      <w:r>
        <w:rPr>
          <w:rFonts w:eastAsia="Calibri"/>
          <w:color w:val="auto"/>
          <w:sz w:val="24"/>
          <w:szCs w:val="24"/>
        </w:rPr>
        <w:t>G</w:t>
      </w:r>
      <w:r w:rsidR="00EC0C26">
        <w:rPr>
          <w:rFonts w:eastAsia="Calibri"/>
          <w:color w:val="auto"/>
          <w:sz w:val="24"/>
          <w:szCs w:val="24"/>
        </w:rPr>
        <w:t xml:space="preserve">reenhouse </w:t>
      </w:r>
      <w:r>
        <w:rPr>
          <w:rFonts w:eastAsia="Calibri"/>
          <w:color w:val="auto"/>
          <w:sz w:val="24"/>
          <w:szCs w:val="24"/>
        </w:rPr>
        <w:t>G</w:t>
      </w:r>
      <w:r w:rsidR="00EC0C26">
        <w:rPr>
          <w:rFonts w:eastAsia="Calibri"/>
          <w:color w:val="auto"/>
          <w:sz w:val="24"/>
          <w:szCs w:val="24"/>
        </w:rPr>
        <w:t>as Initiative (RGGI)</w:t>
      </w:r>
      <w:r>
        <w:rPr>
          <w:rFonts w:eastAsia="Calibri"/>
          <w:color w:val="auto"/>
          <w:sz w:val="24"/>
          <w:szCs w:val="24"/>
        </w:rPr>
        <w:t xml:space="preserve"> states jointly hired a consulting firm, ICF,</w:t>
      </w:r>
      <w:r w:rsidR="00EC0C26">
        <w:rPr>
          <w:rFonts w:eastAsia="Calibri"/>
          <w:color w:val="auto"/>
          <w:sz w:val="24"/>
          <w:szCs w:val="24"/>
        </w:rPr>
        <w:t xml:space="preserve"> to use its Integrated Planning </w:t>
      </w:r>
      <w:r>
        <w:rPr>
          <w:rFonts w:eastAsia="Calibri"/>
          <w:color w:val="auto"/>
          <w:sz w:val="24"/>
          <w:szCs w:val="24"/>
        </w:rPr>
        <w:t>Model (IPM) to project the economic impacts of RGGI un</w:t>
      </w:r>
      <w:r w:rsidR="00EC0C26">
        <w:rPr>
          <w:rFonts w:eastAsia="Calibri"/>
          <w:color w:val="auto"/>
          <w:sz w:val="24"/>
          <w:szCs w:val="24"/>
        </w:rPr>
        <w:t xml:space="preserve">der a variety of scenarios. The </w:t>
      </w:r>
      <w:r>
        <w:rPr>
          <w:rFonts w:eastAsia="Calibri"/>
          <w:color w:val="auto"/>
          <w:sz w:val="24"/>
          <w:szCs w:val="24"/>
        </w:rPr>
        <w:t>scenarios differ in factors such as national market prices for foss</w:t>
      </w:r>
      <w:r w:rsidR="00EC0C26">
        <w:rPr>
          <w:rFonts w:eastAsia="Calibri"/>
          <w:color w:val="auto"/>
          <w:sz w:val="24"/>
          <w:szCs w:val="24"/>
        </w:rPr>
        <w:t xml:space="preserve">il fuels, growth in electricity </w:t>
      </w:r>
      <w:r>
        <w:rPr>
          <w:rFonts w:eastAsia="Calibri"/>
          <w:color w:val="auto"/>
          <w:sz w:val="24"/>
          <w:szCs w:val="24"/>
        </w:rPr>
        <w:t>demand, whether or not a federal cap on emissions comes into</w:t>
      </w:r>
      <w:r w:rsidR="00EC0C26">
        <w:rPr>
          <w:rFonts w:eastAsia="Calibri"/>
          <w:color w:val="auto"/>
          <w:sz w:val="24"/>
          <w:szCs w:val="24"/>
        </w:rPr>
        <w:t xml:space="preserve"> being, and how much funding is </w:t>
      </w:r>
      <w:r>
        <w:rPr>
          <w:rFonts w:eastAsia="Calibri"/>
          <w:color w:val="auto"/>
          <w:sz w:val="24"/>
          <w:szCs w:val="24"/>
        </w:rPr>
        <w:t>made available for electric efficiency programs. The IPM model</w:t>
      </w:r>
      <w:r w:rsidR="00EC0C26">
        <w:rPr>
          <w:rFonts w:eastAsia="Calibri"/>
          <w:color w:val="auto"/>
          <w:sz w:val="24"/>
          <w:szCs w:val="24"/>
        </w:rPr>
        <w:t xml:space="preserve"> produced results for wholesale </w:t>
      </w:r>
      <w:r>
        <w:rPr>
          <w:rFonts w:eastAsia="Calibri"/>
          <w:color w:val="auto"/>
          <w:sz w:val="24"/>
          <w:szCs w:val="24"/>
        </w:rPr>
        <w:t xml:space="preserve">electric rates, which </w:t>
      </w:r>
      <w:r w:rsidR="005C4CED">
        <w:rPr>
          <w:rFonts w:eastAsia="Calibri"/>
          <w:color w:val="auto"/>
          <w:sz w:val="24"/>
          <w:szCs w:val="24"/>
        </w:rPr>
        <w:t>RGGI states</w:t>
      </w:r>
      <w:r w:rsidR="00EC0C26">
        <w:rPr>
          <w:rFonts w:eastAsia="Calibri"/>
          <w:color w:val="auto"/>
          <w:sz w:val="24"/>
          <w:szCs w:val="24"/>
        </w:rPr>
        <w:t xml:space="preserve"> used as input</w:t>
      </w:r>
      <w:r w:rsidR="005C4CED">
        <w:rPr>
          <w:rFonts w:eastAsia="Calibri"/>
          <w:color w:val="auto"/>
          <w:sz w:val="24"/>
          <w:szCs w:val="24"/>
        </w:rPr>
        <w:t>s</w:t>
      </w:r>
      <w:r w:rsidR="00EC0C26">
        <w:rPr>
          <w:rFonts w:eastAsia="Calibri"/>
          <w:color w:val="auto"/>
          <w:sz w:val="24"/>
          <w:szCs w:val="24"/>
        </w:rPr>
        <w:t xml:space="preserve"> to </w:t>
      </w:r>
      <w:r>
        <w:rPr>
          <w:rFonts w:eastAsia="Calibri"/>
          <w:color w:val="auto"/>
          <w:sz w:val="24"/>
          <w:szCs w:val="24"/>
        </w:rPr>
        <w:t>Regional Economic Models, Inc. (REMI) to determine regional</w:t>
      </w:r>
      <w:r w:rsidR="00EC0C26">
        <w:rPr>
          <w:rFonts w:eastAsia="Calibri"/>
          <w:color w:val="auto"/>
          <w:sz w:val="24"/>
          <w:szCs w:val="24"/>
        </w:rPr>
        <w:t xml:space="preserve"> macroeconomic impacts and also </w:t>
      </w:r>
      <w:r>
        <w:rPr>
          <w:rFonts w:eastAsia="Calibri"/>
          <w:color w:val="auto"/>
          <w:sz w:val="24"/>
          <w:szCs w:val="24"/>
        </w:rPr>
        <w:t>translated into retail rates and customer bill impacts. These re</w:t>
      </w:r>
      <w:r w:rsidR="00EC0C26">
        <w:rPr>
          <w:rFonts w:eastAsia="Calibri"/>
          <w:color w:val="auto"/>
          <w:sz w:val="24"/>
          <w:szCs w:val="24"/>
        </w:rPr>
        <w:t xml:space="preserve">sults are available on the RGGI </w:t>
      </w:r>
      <w:r>
        <w:rPr>
          <w:rFonts w:eastAsia="Calibri"/>
          <w:color w:val="auto"/>
          <w:sz w:val="24"/>
          <w:szCs w:val="24"/>
        </w:rPr>
        <w:t>website, at</w:t>
      </w:r>
      <w:r w:rsidR="00922C05" w:rsidRPr="00922C05">
        <w:t xml:space="preserve"> </w:t>
      </w:r>
      <w:r w:rsidR="00FE13A4" w:rsidRPr="00FE13A4">
        <w:rPr>
          <w:rFonts w:eastAsia="Calibri"/>
          <w:color w:val="auto"/>
          <w:sz w:val="24"/>
          <w:szCs w:val="24"/>
        </w:rPr>
        <w:t>https://www.rggi.org/program-overview-and-design/program-review</w:t>
      </w:r>
      <w:r>
        <w:rPr>
          <w:rFonts w:eastAsia="Calibri"/>
          <w:color w:val="auto"/>
          <w:sz w:val="24"/>
          <w:szCs w:val="24"/>
        </w:rPr>
        <w:t xml:space="preserve">, in the </w:t>
      </w:r>
      <w:r w:rsidR="00FE13A4">
        <w:rPr>
          <w:rFonts w:eastAsia="Calibri"/>
          <w:color w:val="auto"/>
          <w:sz w:val="24"/>
          <w:szCs w:val="24"/>
        </w:rPr>
        <w:t>December 19, 2017 Announcement and Release of Materials section</w:t>
      </w:r>
      <w:r>
        <w:rPr>
          <w:rFonts w:eastAsia="Calibri"/>
          <w:color w:val="auto"/>
          <w:sz w:val="24"/>
          <w:szCs w:val="24"/>
        </w:rPr>
        <w:t>.</w:t>
      </w:r>
    </w:p>
    <w:p w:rsidR="006175BB" w:rsidRDefault="006175BB" w:rsidP="006175BB">
      <w:pPr>
        <w:autoSpaceDE w:val="0"/>
        <w:autoSpaceDN w:val="0"/>
        <w:adjustRightInd w:val="0"/>
        <w:rPr>
          <w:rFonts w:eastAsia="Calibri"/>
          <w:color w:val="auto"/>
          <w:sz w:val="24"/>
          <w:szCs w:val="24"/>
        </w:rPr>
      </w:pPr>
    </w:p>
    <w:p w:rsidR="007A314E" w:rsidRPr="006175BB" w:rsidRDefault="007A314E" w:rsidP="007A314E">
      <w:pPr>
        <w:autoSpaceDE w:val="0"/>
        <w:autoSpaceDN w:val="0"/>
        <w:adjustRightInd w:val="0"/>
        <w:rPr>
          <w:rFonts w:eastAsia="Calibri"/>
          <w:color w:val="auto"/>
          <w:sz w:val="24"/>
          <w:szCs w:val="24"/>
        </w:rPr>
      </w:pPr>
      <w:r>
        <w:rPr>
          <w:rFonts w:eastAsia="Calibri"/>
          <w:color w:val="auto"/>
          <w:sz w:val="24"/>
          <w:szCs w:val="24"/>
        </w:rPr>
        <w:t>For Connecticut,</w:t>
      </w:r>
      <w:r w:rsidRPr="006175BB">
        <w:rPr>
          <w:rFonts w:eastAsia="Calibri"/>
          <w:color w:val="auto"/>
          <w:sz w:val="24"/>
          <w:szCs w:val="24"/>
        </w:rPr>
        <w:t xml:space="preserve"> macroeconomic impacts of RGGI are </w:t>
      </w:r>
      <w:r>
        <w:rPr>
          <w:rFonts w:eastAsia="Calibri"/>
          <w:color w:val="auto"/>
          <w:sz w:val="24"/>
          <w:szCs w:val="24"/>
        </w:rPr>
        <w:t xml:space="preserve">projected to be neutral to slightly positive </w:t>
      </w:r>
      <w:r w:rsidRPr="006175BB">
        <w:rPr>
          <w:rFonts w:eastAsia="Calibri"/>
          <w:color w:val="auto"/>
          <w:sz w:val="24"/>
          <w:szCs w:val="24"/>
        </w:rPr>
        <w:t>in terms of</w:t>
      </w:r>
      <w:r>
        <w:rPr>
          <w:rFonts w:eastAsia="Calibri"/>
          <w:color w:val="auto"/>
          <w:sz w:val="24"/>
          <w:szCs w:val="24"/>
        </w:rPr>
        <w:t xml:space="preserve"> </w:t>
      </w:r>
      <w:r w:rsidRPr="006175BB">
        <w:rPr>
          <w:rFonts w:eastAsia="Calibri"/>
          <w:color w:val="auto"/>
          <w:sz w:val="24"/>
          <w:szCs w:val="24"/>
        </w:rPr>
        <w:t xml:space="preserve">impacts on employment, income, and gross </w:t>
      </w:r>
      <w:r>
        <w:rPr>
          <w:rFonts w:eastAsia="Calibri"/>
          <w:color w:val="auto"/>
          <w:sz w:val="24"/>
          <w:szCs w:val="24"/>
        </w:rPr>
        <w:t xml:space="preserve">state </w:t>
      </w:r>
      <w:r w:rsidRPr="006175BB">
        <w:rPr>
          <w:rFonts w:eastAsia="Calibri"/>
          <w:color w:val="auto"/>
          <w:sz w:val="24"/>
          <w:szCs w:val="24"/>
        </w:rPr>
        <w:t>produc</w:t>
      </w:r>
      <w:r w:rsidRPr="003B7BA9">
        <w:rPr>
          <w:rFonts w:eastAsia="Calibri"/>
          <w:color w:val="auto"/>
          <w:sz w:val="24"/>
          <w:szCs w:val="24"/>
        </w:rPr>
        <w:t>t.</w:t>
      </w:r>
      <w:r w:rsidRPr="006175BB">
        <w:rPr>
          <w:rFonts w:eastAsia="Calibri"/>
          <w:color w:val="auto"/>
          <w:sz w:val="24"/>
          <w:szCs w:val="24"/>
        </w:rPr>
        <w:t xml:space="preserve"> </w:t>
      </w:r>
      <w:r>
        <w:rPr>
          <w:rFonts w:eastAsia="Calibri"/>
          <w:color w:val="auto"/>
          <w:sz w:val="24"/>
          <w:szCs w:val="24"/>
        </w:rPr>
        <w:t>This is due to the relatively minor impact of RGGI in relation to the size of the regional economy of New England.</w:t>
      </w:r>
    </w:p>
    <w:p w:rsidR="006175BB" w:rsidRPr="006175BB" w:rsidRDefault="006175BB" w:rsidP="006175BB">
      <w:pPr>
        <w:autoSpaceDE w:val="0"/>
        <w:autoSpaceDN w:val="0"/>
        <w:adjustRightInd w:val="0"/>
        <w:rPr>
          <w:rFonts w:eastAsia="Calibri"/>
          <w:color w:val="auto"/>
          <w:sz w:val="24"/>
          <w:szCs w:val="24"/>
        </w:rPr>
      </w:pPr>
    </w:p>
    <w:p w:rsidR="003C5A08" w:rsidRPr="003C5A08" w:rsidRDefault="0033657B" w:rsidP="003C5A08">
      <w:pPr>
        <w:rPr>
          <w:rFonts w:eastAsia="Calibri"/>
          <w:color w:val="auto"/>
          <w:sz w:val="24"/>
          <w:szCs w:val="24"/>
        </w:rPr>
      </w:pPr>
      <w:r>
        <w:rPr>
          <w:rFonts w:eastAsia="Calibri"/>
          <w:color w:val="auto"/>
          <w:sz w:val="24"/>
          <w:szCs w:val="24"/>
        </w:rPr>
        <w:t xml:space="preserve">IPM modeling of electric bills, </w:t>
      </w:r>
      <w:r w:rsidR="00E0391D">
        <w:rPr>
          <w:rFonts w:eastAsia="Calibri"/>
          <w:color w:val="auto"/>
          <w:sz w:val="24"/>
          <w:szCs w:val="24"/>
        </w:rPr>
        <w:t xml:space="preserve">for all classes </w:t>
      </w:r>
      <w:r>
        <w:rPr>
          <w:rFonts w:eastAsia="Calibri"/>
          <w:color w:val="auto"/>
          <w:sz w:val="24"/>
          <w:szCs w:val="24"/>
        </w:rPr>
        <w:t xml:space="preserve">of consumers, </w:t>
      </w:r>
      <w:r w:rsidR="00E0391D">
        <w:rPr>
          <w:rFonts w:eastAsia="Calibri"/>
          <w:color w:val="auto"/>
          <w:sz w:val="24"/>
          <w:szCs w:val="24"/>
        </w:rPr>
        <w:t>predict</w:t>
      </w:r>
      <w:r>
        <w:rPr>
          <w:rFonts w:eastAsia="Calibri"/>
          <w:color w:val="auto"/>
          <w:sz w:val="24"/>
          <w:szCs w:val="24"/>
        </w:rPr>
        <w:t>s</w:t>
      </w:r>
      <w:r w:rsidR="00E0391D">
        <w:rPr>
          <w:rFonts w:eastAsia="Calibri"/>
          <w:color w:val="auto"/>
          <w:sz w:val="24"/>
          <w:szCs w:val="24"/>
        </w:rPr>
        <w:t xml:space="preserve"> that market forces induced by the revised RGG</w:t>
      </w:r>
      <w:r>
        <w:rPr>
          <w:rFonts w:eastAsia="Calibri"/>
          <w:color w:val="auto"/>
          <w:sz w:val="24"/>
          <w:szCs w:val="24"/>
        </w:rPr>
        <w:t>I</w:t>
      </w:r>
      <w:r w:rsidR="00E0391D">
        <w:rPr>
          <w:rFonts w:eastAsia="Calibri"/>
          <w:color w:val="auto"/>
          <w:sz w:val="24"/>
          <w:szCs w:val="24"/>
        </w:rPr>
        <w:t xml:space="preserve"> rule could </w:t>
      </w:r>
      <w:r>
        <w:rPr>
          <w:rFonts w:eastAsia="Calibri"/>
          <w:color w:val="auto"/>
          <w:sz w:val="24"/>
          <w:szCs w:val="24"/>
        </w:rPr>
        <w:t xml:space="preserve">cause monthly electric bills to rise as described in </w:t>
      </w:r>
      <w:r w:rsidRPr="0093072C">
        <w:rPr>
          <w:rFonts w:eastAsia="Calibri"/>
          <w:color w:val="auto"/>
          <w:sz w:val="24"/>
          <w:szCs w:val="24"/>
        </w:rPr>
        <w:t xml:space="preserve">Table 1, between </w:t>
      </w:r>
      <w:r w:rsidR="00FE13A4" w:rsidRPr="0093072C">
        <w:rPr>
          <w:rFonts w:eastAsia="Calibri"/>
          <w:color w:val="auto"/>
          <w:sz w:val="24"/>
          <w:szCs w:val="24"/>
        </w:rPr>
        <w:t xml:space="preserve">2021 </w:t>
      </w:r>
      <w:r w:rsidRPr="0093072C">
        <w:rPr>
          <w:rFonts w:eastAsia="Calibri"/>
          <w:color w:val="auto"/>
          <w:sz w:val="24"/>
          <w:szCs w:val="24"/>
        </w:rPr>
        <w:t>and 20</w:t>
      </w:r>
      <w:r w:rsidR="00FE13A4" w:rsidRPr="0093072C">
        <w:rPr>
          <w:rFonts w:eastAsia="Calibri"/>
          <w:color w:val="auto"/>
          <w:sz w:val="24"/>
          <w:szCs w:val="24"/>
        </w:rPr>
        <w:t>3</w:t>
      </w:r>
      <w:r w:rsidRPr="0093072C">
        <w:rPr>
          <w:rFonts w:eastAsia="Calibri"/>
          <w:color w:val="auto"/>
          <w:sz w:val="24"/>
          <w:szCs w:val="24"/>
        </w:rPr>
        <w:t>0.</w:t>
      </w:r>
      <w:r w:rsidR="005C4CED">
        <w:rPr>
          <w:rFonts w:eastAsia="Calibri"/>
          <w:color w:val="auto"/>
          <w:sz w:val="24"/>
          <w:szCs w:val="24"/>
        </w:rPr>
        <w:t xml:space="preserve"> </w:t>
      </w:r>
      <w:r>
        <w:rPr>
          <w:rFonts w:eastAsia="Calibri"/>
          <w:color w:val="auto"/>
          <w:sz w:val="24"/>
          <w:szCs w:val="24"/>
        </w:rPr>
        <w:t>However, the increased RGGI Auction revenue is also projected to have positive net economic benefit to Connecticut and the region.</w:t>
      </w:r>
      <w:r w:rsidR="005C4CED">
        <w:rPr>
          <w:rFonts w:eastAsia="Calibri"/>
          <w:color w:val="auto"/>
          <w:sz w:val="24"/>
          <w:szCs w:val="24"/>
        </w:rPr>
        <w:t xml:space="preserve"> </w:t>
      </w:r>
      <w:r>
        <w:rPr>
          <w:rFonts w:eastAsia="Calibri"/>
          <w:color w:val="auto"/>
          <w:sz w:val="24"/>
          <w:szCs w:val="24"/>
        </w:rPr>
        <w:t>The increased revenue will fund new and existing energy efficiency and renewable energy initiatives that could reduce electricity demand and costs for most customers.</w:t>
      </w:r>
      <w:r w:rsidR="005C4CED">
        <w:rPr>
          <w:rFonts w:eastAsia="Calibri"/>
          <w:color w:val="auto"/>
          <w:sz w:val="24"/>
          <w:szCs w:val="24"/>
        </w:rPr>
        <w:t xml:space="preserve"> </w:t>
      </w:r>
      <w:r>
        <w:rPr>
          <w:rFonts w:eastAsia="Calibri"/>
          <w:color w:val="auto"/>
          <w:sz w:val="24"/>
          <w:szCs w:val="24"/>
        </w:rPr>
        <w:t>Cumulative Connecticut projected revenues are $</w:t>
      </w:r>
      <w:r w:rsidR="005D2215">
        <w:rPr>
          <w:rFonts w:eastAsia="Calibri"/>
          <w:color w:val="auto"/>
          <w:sz w:val="24"/>
          <w:szCs w:val="24"/>
        </w:rPr>
        <w:t>391</w:t>
      </w:r>
      <w:r>
        <w:rPr>
          <w:rFonts w:eastAsia="Calibri"/>
          <w:color w:val="auto"/>
          <w:sz w:val="24"/>
          <w:szCs w:val="24"/>
        </w:rPr>
        <w:t xml:space="preserve"> Million</w:t>
      </w:r>
      <w:r w:rsidR="00A52F07">
        <w:rPr>
          <w:rStyle w:val="FootnoteReference"/>
          <w:rFonts w:eastAsia="Calibri"/>
          <w:color w:val="auto"/>
          <w:sz w:val="24"/>
          <w:szCs w:val="24"/>
        </w:rPr>
        <w:footnoteReference w:id="1"/>
      </w:r>
      <w:r>
        <w:rPr>
          <w:rFonts w:eastAsia="Calibri"/>
          <w:color w:val="auto"/>
          <w:sz w:val="24"/>
          <w:szCs w:val="24"/>
        </w:rPr>
        <w:t xml:space="preserve"> </w:t>
      </w:r>
      <w:r w:rsidR="005D2215">
        <w:rPr>
          <w:rFonts w:eastAsia="Calibri"/>
          <w:color w:val="auto"/>
          <w:sz w:val="24"/>
          <w:szCs w:val="24"/>
        </w:rPr>
        <w:t>between 2021 and 2030</w:t>
      </w:r>
      <w:r>
        <w:rPr>
          <w:rFonts w:eastAsia="Calibri"/>
          <w:color w:val="auto"/>
          <w:sz w:val="24"/>
          <w:szCs w:val="24"/>
        </w:rPr>
        <w:t xml:space="preserve">. </w:t>
      </w:r>
      <w:r w:rsidR="003C5A08" w:rsidRPr="003C5A08">
        <w:rPr>
          <w:rFonts w:eastAsia="Calibri"/>
          <w:color w:val="auto"/>
          <w:sz w:val="24"/>
          <w:szCs w:val="24"/>
        </w:rPr>
        <w:t>The draft regulation includes a provision for ratepayer relief and implements a program cap of $35 million annually, all proceeds exceeding the program cap would be returned to ratepayers. Under current projections an estimated $42,000,000 would be returned to ratepayers.</w:t>
      </w:r>
    </w:p>
    <w:p w:rsidR="006175BB" w:rsidRPr="006175BB" w:rsidRDefault="006175BB" w:rsidP="0033657B">
      <w:pPr>
        <w:autoSpaceDE w:val="0"/>
        <w:autoSpaceDN w:val="0"/>
        <w:adjustRightInd w:val="0"/>
        <w:rPr>
          <w:rFonts w:eastAsia="Calibri"/>
          <w:color w:val="auto"/>
          <w:sz w:val="24"/>
          <w:szCs w:val="24"/>
        </w:rPr>
      </w:pPr>
    </w:p>
    <w:p w:rsidR="006175BB" w:rsidRDefault="006175BB" w:rsidP="006948EC">
      <w:pPr>
        <w:rPr>
          <w:sz w:val="24"/>
          <w:szCs w:val="24"/>
        </w:rPr>
      </w:pPr>
    </w:p>
    <w:p w:rsidR="00674410" w:rsidRDefault="00674410" w:rsidP="00674410">
      <w:pPr>
        <w:pStyle w:val="Default"/>
        <w:rPr>
          <w:rFonts w:ascii="Times New Roman" w:eastAsia="Times New Roman" w:hAnsi="Times New Roman" w:cs="Times New Roman"/>
        </w:rPr>
      </w:pPr>
    </w:p>
    <w:p w:rsidR="00674410" w:rsidRDefault="00674410" w:rsidP="00674410">
      <w:pPr>
        <w:pStyle w:val="Default"/>
        <w:rPr>
          <w:rFonts w:ascii="Times New Roman" w:eastAsia="Times New Roman" w:hAnsi="Times New Roman" w:cs="Times New Roman"/>
        </w:rPr>
      </w:pPr>
    </w:p>
    <w:p w:rsidR="00674410" w:rsidRDefault="00674410" w:rsidP="00674410">
      <w:pPr>
        <w:pStyle w:val="Default"/>
        <w:rPr>
          <w:rFonts w:ascii="Times New Roman" w:eastAsia="Times New Roman" w:hAnsi="Times New Roman" w:cs="Times New Roman"/>
        </w:rPr>
      </w:pPr>
    </w:p>
    <w:p w:rsidR="00E0391D" w:rsidRDefault="00E0391D">
      <w:pPr>
        <w:rPr>
          <w:rFonts w:eastAsia="Calibri"/>
          <w:b/>
          <w:bCs/>
          <w:sz w:val="22"/>
          <w:szCs w:val="22"/>
        </w:rPr>
      </w:pPr>
      <w:r>
        <w:rPr>
          <w:b/>
          <w:bCs/>
          <w:sz w:val="22"/>
          <w:szCs w:val="22"/>
        </w:rPr>
        <w:br w:type="page"/>
      </w:r>
    </w:p>
    <w:p w:rsidR="00674410" w:rsidRDefault="000502EF" w:rsidP="00674410">
      <w:pPr>
        <w:pStyle w:val="Default"/>
        <w:rPr>
          <w:rFonts w:ascii="Times New Roman" w:hAnsi="Times New Roman" w:cs="Times New Roman"/>
          <w:b/>
          <w:bCs/>
          <w:sz w:val="22"/>
          <w:szCs w:val="22"/>
        </w:rPr>
      </w:pPr>
      <w:r w:rsidRPr="00515418">
        <w:rPr>
          <w:rFonts w:ascii="Times New Roman" w:hAnsi="Times New Roman" w:cs="Times New Roman"/>
          <w:b/>
          <w:bCs/>
          <w:sz w:val="22"/>
          <w:szCs w:val="22"/>
        </w:rPr>
        <w:t xml:space="preserve">Table 1. </w:t>
      </w:r>
      <w:r w:rsidR="00E03135" w:rsidRPr="00515418">
        <w:rPr>
          <w:rFonts w:ascii="Times New Roman" w:hAnsi="Times New Roman" w:cs="Times New Roman"/>
          <w:b/>
          <w:bCs/>
          <w:sz w:val="22"/>
          <w:szCs w:val="22"/>
        </w:rPr>
        <w:t>Estimates of Total</w:t>
      </w:r>
      <w:r w:rsidR="00674410">
        <w:rPr>
          <w:rFonts w:ascii="Times New Roman" w:hAnsi="Times New Roman" w:cs="Times New Roman"/>
          <w:b/>
          <w:bCs/>
          <w:sz w:val="22"/>
          <w:szCs w:val="22"/>
        </w:rPr>
        <w:t xml:space="preserve"> </w:t>
      </w:r>
      <w:r w:rsidR="00B326A4">
        <w:rPr>
          <w:rFonts w:ascii="Times New Roman" w:hAnsi="Times New Roman" w:cs="Times New Roman"/>
          <w:b/>
          <w:bCs/>
          <w:sz w:val="22"/>
          <w:szCs w:val="22"/>
        </w:rPr>
        <w:t>Bill Impact for CT CO</w:t>
      </w:r>
      <w:r w:rsidR="00B326A4" w:rsidRPr="00B326A4">
        <w:rPr>
          <w:rFonts w:ascii="Times New Roman" w:hAnsi="Times New Roman" w:cs="Times New Roman"/>
          <w:b/>
          <w:bCs/>
          <w:sz w:val="22"/>
          <w:szCs w:val="22"/>
          <w:vertAlign w:val="subscript"/>
        </w:rPr>
        <w:t>2</w:t>
      </w:r>
      <w:r w:rsidR="00B326A4">
        <w:rPr>
          <w:rFonts w:ascii="Times New Roman" w:hAnsi="Times New Roman" w:cs="Times New Roman"/>
          <w:b/>
          <w:bCs/>
          <w:sz w:val="22"/>
          <w:szCs w:val="22"/>
        </w:rPr>
        <w:t xml:space="preserve"> Trading Program</w:t>
      </w:r>
    </w:p>
    <w:p w:rsidR="00FE13A4" w:rsidRDefault="00FE13A4" w:rsidP="00674410">
      <w:pPr>
        <w:pStyle w:val="Default"/>
        <w:rPr>
          <w:rFonts w:ascii="Times New Roman" w:hAnsi="Times New Roman" w:cs="Times New Roman"/>
          <w:b/>
          <w:bCs/>
          <w:sz w:val="22"/>
          <w:szCs w:val="22"/>
        </w:rPr>
      </w:pPr>
    </w:p>
    <w:tbl>
      <w:tblPr>
        <w:tblStyle w:val="TableGridLight"/>
        <w:tblW w:w="0" w:type="auto"/>
        <w:tblLook w:val="04A0" w:firstRow="1" w:lastRow="0" w:firstColumn="1" w:lastColumn="0" w:noHBand="0" w:noVBand="1"/>
      </w:tblPr>
      <w:tblGrid>
        <w:gridCol w:w="1373"/>
        <w:gridCol w:w="1165"/>
        <w:gridCol w:w="1203"/>
        <w:gridCol w:w="1166"/>
        <w:gridCol w:w="1205"/>
        <w:gridCol w:w="1166"/>
        <w:gridCol w:w="1194"/>
        <w:gridCol w:w="1166"/>
      </w:tblGrid>
      <w:tr w:rsidR="004C375E" w:rsidRPr="00615455" w:rsidTr="0045134F">
        <w:tc>
          <w:tcPr>
            <w:tcW w:w="9638" w:type="dxa"/>
            <w:gridSpan w:val="8"/>
          </w:tcPr>
          <w:p w:rsidR="004C375E" w:rsidRPr="0045134F" w:rsidRDefault="004C375E"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CT Monthly Bill Impact for Years 2021 - 2030</w:t>
            </w:r>
          </w:p>
        </w:tc>
      </w:tr>
      <w:tr w:rsidR="00615455" w:rsidRPr="00615455" w:rsidTr="00BD2C56">
        <w:tc>
          <w:tcPr>
            <w:tcW w:w="1373" w:type="dxa"/>
          </w:tcPr>
          <w:p w:rsidR="004C375E" w:rsidRPr="0045134F" w:rsidRDefault="004C375E" w:rsidP="00674410">
            <w:pPr>
              <w:pStyle w:val="Default"/>
              <w:rPr>
                <w:rFonts w:ascii="Times New Roman" w:hAnsi="Times New Roman" w:cs="Times New Roman"/>
                <w:b/>
                <w:bCs/>
                <w:szCs w:val="22"/>
              </w:rPr>
            </w:pPr>
          </w:p>
        </w:tc>
        <w:tc>
          <w:tcPr>
            <w:tcW w:w="1165" w:type="dxa"/>
          </w:tcPr>
          <w:p w:rsidR="004C375E" w:rsidRPr="0045134F" w:rsidRDefault="004C375E" w:rsidP="00674410">
            <w:pPr>
              <w:pStyle w:val="Default"/>
              <w:rPr>
                <w:rFonts w:ascii="Times New Roman" w:hAnsi="Times New Roman" w:cs="Times New Roman"/>
                <w:b/>
                <w:bCs/>
                <w:szCs w:val="22"/>
              </w:rPr>
            </w:pPr>
          </w:p>
        </w:tc>
        <w:tc>
          <w:tcPr>
            <w:tcW w:w="1203" w:type="dxa"/>
          </w:tcPr>
          <w:p w:rsidR="004C375E" w:rsidRPr="0045134F" w:rsidRDefault="004C375E" w:rsidP="00674410">
            <w:pPr>
              <w:pStyle w:val="Default"/>
              <w:rPr>
                <w:rFonts w:ascii="Times New Roman" w:hAnsi="Times New Roman" w:cs="Times New Roman"/>
                <w:b/>
                <w:bCs/>
                <w:szCs w:val="22"/>
              </w:rPr>
            </w:pPr>
          </w:p>
        </w:tc>
        <w:tc>
          <w:tcPr>
            <w:tcW w:w="1166" w:type="dxa"/>
          </w:tcPr>
          <w:p w:rsidR="004C375E" w:rsidRPr="0045134F" w:rsidRDefault="004C375E" w:rsidP="00674410">
            <w:pPr>
              <w:pStyle w:val="Default"/>
              <w:rPr>
                <w:rFonts w:ascii="Times New Roman" w:hAnsi="Times New Roman" w:cs="Times New Roman"/>
                <w:b/>
                <w:bCs/>
                <w:szCs w:val="22"/>
              </w:rPr>
            </w:pPr>
          </w:p>
        </w:tc>
        <w:tc>
          <w:tcPr>
            <w:tcW w:w="1205" w:type="dxa"/>
          </w:tcPr>
          <w:p w:rsidR="004C375E" w:rsidRPr="0045134F" w:rsidRDefault="004C375E" w:rsidP="00674410">
            <w:pPr>
              <w:pStyle w:val="Default"/>
              <w:rPr>
                <w:rFonts w:ascii="Times New Roman" w:hAnsi="Times New Roman" w:cs="Times New Roman"/>
                <w:b/>
                <w:bCs/>
                <w:szCs w:val="22"/>
              </w:rPr>
            </w:pPr>
          </w:p>
        </w:tc>
        <w:tc>
          <w:tcPr>
            <w:tcW w:w="1166" w:type="dxa"/>
          </w:tcPr>
          <w:p w:rsidR="004C375E" w:rsidRPr="0045134F" w:rsidRDefault="004C375E" w:rsidP="00674410">
            <w:pPr>
              <w:pStyle w:val="Default"/>
              <w:rPr>
                <w:rFonts w:ascii="Times New Roman" w:hAnsi="Times New Roman" w:cs="Times New Roman"/>
                <w:b/>
                <w:bCs/>
                <w:szCs w:val="22"/>
              </w:rPr>
            </w:pPr>
          </w:p>
        </w:tc>
        <w:tc>
          <w:tcPr>
            <w:tcW w:w="1194" w:type="dxa"/>
          </w:tcPr>
          <w:p w:rsidR="004C375E" w:rsidRPr="0045134F" w:rsidRDefault="004C375E" w:rsidP="00674410">
            <w:pPr>
              <w:pStyle w:val="Default"/>
              <w:rPr>
                <w:rFonts w:ascii="Times New Roman" w:hAnsi="Times New Roman" w:cs="Times New Roman"/>
                <w:b/>
                <w:bCs/>
                <w:szCs w:val="22"/>
              </w:rPr>
            </w:pPr>
          </w:p>
        </w:tc>
        <w:tc>
          <w:tcPr>
            <w:tcW w:w="1166" w:type="dxa"/>
          </w:tcPr>
          <w:p w:rsidR="004C375E" w:rsidRPr="0045134F" w:rsidRDefault="004C375E" w:rsidP="00674410">
            <w:pPr>
              <w:pStyle w:val="Default"/>
              <w:rPr>
                <w:rFonts w:ascii="Times New Roman" w:hAnsi="Times New Roman" w:cs="Times New Roman"/>
                <w:b/>
                <w:bCs/>
                <w:szCs w:val="22"/>
              </w:rPr>
            </w:pPr>
          </w:p>
        </w:tc>
      </w:tr>
      <w:tr w:rsidR="00BD2C56" w:rsidRPr="00615455" w:rsidTr="0045134F">
        <w:tc>
          <w:tcPr>
            <w:tcW w:w="1373" w:type="dxa"/>
          </w:tcPr>
          <w:p w:rsidR="00BD2C56" w:rsidRPr="0045134F" w:rsidRDefault="00BD2C56" w:rsidP="00674410">
            <w:pPr>
              <w:pStyle w:val="Default"/>
              <w:rPr>
                <w:rFonts w:ascii="Times New Roman" w:hAnsi="Times New Roman" w:cs="Times New Roman"/>
                <w:b/>
                <w:bCs/>
                <w:szCs w:val="22"/>
              </w:rPr>
            </w:pPr>
          </w:p>
        </w:tc>
        <w:tc>
          <w:tcPr>
            <w:tcW w:w="1165" w:type="dxa"/>
          </w:tcPr>
          <w:p w:rsidR="00BD2C56" w:rsidRPr="0045134F" w:rsidRDefault="00BD2C56" w:rsidP="00674410">
            <w:pPr>
              <w:pStyle w:val="Default"/>
              <w:rPr>
                <w:rFonts w:ascii="Times New Roman" w:hAnsi="Times New Roman" w:cs="Times New Roman"/>
                <w:b/>
                <w:bCs/>
                <w:szCs w:val="22"/>
              </w:rPr>
            </w:pP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Reference Case</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Policy Case</w:t>
            </w:r>
          </w:p>
        </w:tc>
        <w:tc>
          <w:tcPr>
            <w:tcW w:w="1194" w:type="dxa"/>
          </w:tcPr>
          <w:p w:rsidR="00BD2C56" w:rsidRPr="0045134F" w:rsidRDefault="00BD2C56" w:rsidP="00674410">
            <w:pPr>
              <w:pStyle w:val="Default"/>
              <w:rPr>
                <w:rFonts w:ascii="Times New Roman" w:hAnsi="Times New Roman" w:cs="Times New Roman"/>
                <w:b/>
                <w:bCs/>
                <w:szCs w:val="22"/>
              </w:rPr>
            </w:pPr>
          </w:p>
        </w:tc>
        <w:tc>
          <w:tcPr>
            <w:tcW w:w="1166" w:type="dxa"/>
          </w:tcPr>
          <w:p w:rsidR="00BD2C56" w:rsidRPr="0045134F" w:rsidRDefault="00BD2C56" w:rsidP="00674410">
            <w:pPr>
              <w:pStyle w:val="Default"/>
              <w:rPr>
                <w:rFonts w:ascii="Times New Roman" w:hAnsi="Times New Roman" w:cs="Times New Roman"/>
                <w:b/>
                <w:bCs/>
                <w:szCs w:val="22"/>
              </w:rPr>
            </w:pPr>
          </w:p>
        </w:tc>
      </w:tr>
      <w:tr w:rsidR="00BD2C56" w:rsidRPr="00615455" w:rsidTr="0045134F">
        <w:tc>
          <w:tcPr>
            <w:tcW w:w="1373" w:type="dxa"/>
          </w:tcPr>
          <w:p w:rsidR="00BD2C56" w:rsidRPr="0045134F" w:rsidRDefault="00BD2C56" w:rsidP="00674410">
            <w:pPr>
              <w:pStyle w:val="Default"/>
              <w:rPr>
                <w:rFonts w:ascii="Times New Roman" w:hAnsi="Times New Roman" w:cs="Times New Roman"/>
                <w:b/>
                <w:bCs/>
                <w:szCs w:val="22"/>
              </w:rPr>
            </w:pPr>
          </w:p>
        </w:tc>
        <w:tc>
          <w:tcPr>
            <w:tcW w:w="1165" w:type="dxa"/>
          </w:tcPr>
          <w:p w:rsidR="00BD2C56" w:rsidRPr="0045134F" w:rsidRDefault="00BD2C56" w:rsidP="00674410">
            <w:pPr>
              <w:pStyle w:val="Default"/>
              <w:rPr>
                <w:rFonts w:ascii="Times New Roman" w:hAnsi="Times New Roman" w:cs="Times New Roman"/>
                <w:b/>
                <w:bCs/>
                <w:szCs w:val="22"/>
              </w:rPr>
            </w:pP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Average</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Average</w:t>
            </w:r>
          </w:p>
        </w:tc>
        <w:tc>
          <w:tcPr>
            <w:tcW w:w="1194" w:type="dxa"/>
          </w:tcPr>
          <w:p w:rsidR="00BD2C56" w:rsidRPr="0045134F" w:rsidRDefault="00BD2C56" w:rsidP="00674410">
            <w:pPr>
              <w:pStyle w:val="Default"/>
              <w:rPr>
                <w:rFonts w:ascii="Times New Roman" w:hAnsi="Times New Roman" w:cs="Times New Roman"/>
                <w:b/>
                <w:bCs/>
                <w:szCs w:val="22"/>
              </w:rPr>
            </w:pPr>
          </w:p>
        </w:tc>
        <w:tc>
          <w:tcPr>
            <w:tcW w:w="1166" w:type="dxa"/>
          </w:tcPr>
          <w:p w:rsidR="00BD2C56" w:rsidRPr="0045134F" w:rsidRDefault="00BD2C56" w:rsidP="00674410">
            <w:pPr>
              <w:pStyle w:val="Default"/>
              <w:rPr>
                <w:rFonts w:ascii="Times New Roman" w:hAnsi="Times New Roman" w:cs="Times New Roman"/>
                <w:b/>
                <w:bCs/>
                <w:szCs w:val="22"/>
              </w:rPr>
            </w:pPr>
          </w:p>
        </w:tc>
      </w:tr>
      <w:tr w:rsidR="00BD2C56" w:rsidRPr="00615455" w:rsidTr="0045134F">
        <w:tc>
          <w:tcPr>
            <w:tcW w:w="1373" w:type="dxa"/>
          </w:tcPr>
          <w:p w:rsidR="00BD2C56" w:rsidRPr="0045134F" w:rsidRDefault="00BD2C56" w:rsidP="00674410">
            <w:pPr>
              <w:pStyle w:val="Default"/>
              <w:rPr>
                <w:rFonts w:ascii="Times New Roman" w:hAnsi="Times New Roman" w:cs="Times New Roman"/>
                <w:b/>
                <w:bCs/>
                <w:szCs w:val="22"/>
              </w:rPr>
            </w:pPr>
          </w:p>
        </w:tc>
        <w:tc>
          <w:tcPr>
            <w:tcW w:w="1165" w:type="dxa"/>
          </w:tcPr>
          <w:p w:rsidR="00BD2C56" w:rsidRPr="0045134F" w:rsidRDefault="00BD2C56" w:rsidP="00674410">
            <w:pPr>
              <w:pStyle w:val="Default"/>
              <w:rPr>
                <w:rFonts w:ascii="Times New Roman" w:hAnsi="Times New Roman" w:cs="Times New Roman"/>
                <w:b/>
                <w:bCs/>
                <w:szCs w:val="22"/>
              </w:rPr>
            </w:pP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Monthly</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Monthly</w:t>
            </w:r>
          </w:p>
        </w:tc>
        <w:tc>
          <w:tcPr>
            <w:tcW w:w="1194" w:type="dxa"/>
          </w:tcPr>
          <w:p w:rsidR="00BD2C56" w:rsidRPr="0045134F" w:rsidRDefault="00BD2C56" w:rsidP="00674410">
            <w:pPr>
              <w:pStyle w:val="Default"/>
              <w:rPr>
                <w:rFonts w:ascii="Times New Roman" w:hAnsi="Times New Roman" w:cs="Times New Roman"/>
                <w:b/>
                <w:bCs/>
                <w:szCs w:val="22"/>
              </w:rPr>
            </w:pPr>
          </w:p>
        </w:tc>
        <w:tc>
          <w:tcPr>
            <w:tcW w:w="1166" w:type="dxa"/>
          </w:tcPr>
          <w:p w:rsidR="00BD2C56" w:rsidRPr="0045134F" w:rsidRDefault="00BD2C56" w:rsidP="00674410">
            <w:pPr>
              <w:pStyle w:val="Default"/>
              <w:rPr>
                <w:rFonts w:ascii="Times New Roman" w:hAnsi="Times New Roman" w:cs="Times New Roman"/>
                <w:b/>
                <w:bCs/>
                <w:szCs w:val="22"/>
              </w:rPr>
            </w:pP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u w:val="single"/>
              </w:rPr>
            </w:pPr>
            <w:r w:rsidRPr="0045134F">
              <w:rPr>
                <w:rFonts w:ascii="Times New Roman" w:hAnsi="Times New Roman" w:cs="Times New Roman"/>
                <w:b/>
                <w:bCs/>
                <w:szCs w:val="22"/>
                <w:u w:val="single"/>
              </w:rPr>
              <w:t>Customer Class</w:t>
            </w:r>
          </w:p>
        </w:tc>
        <w:tc>
          <w:tcPr>
            <w:tcW w:w="2369"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Bill ($2015)</w:t>
            </w:r>
          </w:p>
        </w:tc>
        <w:tc>
          <w:tcPr>
            <w:tcW w:w="2371"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u w:val="single"/>
              </w:rPr>
              <w:t>Difference ($2015)</w:t>
            </w:r>
          </w:p>
        </w:tc>
        <w:tc>
          <w:tcPr>
            <w:tcW w:w="2360" w:type="dxa"/>
            <w:gridSpan w:val="2"/>
          </w:tcPr>
          <w:p w:rsidR="00BD2C56" w:rsidRPr="0045134F" w:rsidRDefault="00BD2C56" w:rsidP="0045134F">
            <w:pPr>
              <w:pStyle w:val="Default"/>
              <w:jc w:val="center"/>
              <w:rPr>
                <w:rFonts w:ascii="Times New Roman" w:hAnsi="Times New Roman" w:cs="Times New Roman"/>
                <w:b/>
                <w:bCs/>
                <w:szCs w:val="22"/>
                <w:u w:val="single"/>
              </w:rPr>
            </w:pPr>
            <w:r w:rsidRPr="0045134F">
              <w:rPr>
                <w:rFonts w:ascii="Times New Roman" w:hAnsi="Times New Roman" w:cs="Times New Roman"/>
                <w:b/>
                <w:bCs/>
                <w:szCs w:val="22"/>
                <w:u w:val="single"/>
              </w:rPr>
              <w:t>Percent Difference</w:t>
            </w: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Residential</w:t>
            </w:r>
          </w:p>
        </w:tc>
        <w:tc>
          <w:tcPr>
            <w:tcW w:w="2369" w:type="dxa"/>
            <w:gridSpan w:val="2"/>
          </w:tcPr>
          <w:p w:rsidR="00BD2C56" w:rsidRPr="0045134F" w:rsidRDefault="00BD2C56" w:rsidP="00674410">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107.77</w:t>
            </w:r>
          </w:p>
        </w:tc>
        <w:tc>
          <w:tcPr>
            <w:tcW w:w="2371"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1.14</w:t>
            </w:r>
          </w:p>
        </w:tc>
        <w:tc>
          <w:tcPr>
            <w:tcW w:w="2360"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1.1%</w:t>
            </w: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Commercial</w:t>
            </w:r>
          </w:p>
        </w:tc>
        <w:tc>
          <w:tcPr>
            <w:tcW w:w="2369"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784.94</w:t>
            </w:r>
          </w:p>
        </w:tc>
        <w:tc>
          <w:tcPr>
            <w:tcW w:w="2371"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11.32</w:t>
            </w:r>
          </w:p>
        </w:tc>
        <w:tc>
          <w:tcPr>
            <w:tcW w:w="2360"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1.4%</w:t>
            </w:r>
          </w:p>
        </w:tc>
      </w:tr>
      <w:tr w:rsidR="00BD2C56" w:rsidRPr="00615455" w:rsidTr="0045134F">
        <w:tc>
          <w:tcPr>
            <w:tcW w:w="2538"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Industrial</w:t>
            </w:r>
          </w:p>
        </w:tc>
        <w:tc>
          <w:tcPr>
            <w:tcW w:w="2369"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5,851.10</w:t>
            </w:r>
          </w:p>
        </w:tc>
        <w:tc>
          <w:tcPr>
            <w:tcW w:w="2371" w:type="dxa"/>
            <w:gridSpan w:val="2"/>
          </w:tcPr>
          <w:p w:rsidR="00BD2C56" w:rsidRPr="0045134F" w:rsidRDefault="00BD2C56" w:rsidP="00BD2C56">
            <w:pPr>
              <w:pStyle w:val="Default"/>
              <w:rPr>
                <w:rFonts w:ascii="Times New Roman" w:hAnsi="Times New Roman" w:cs="Times New Roman"/>
                <w:b/>
                <w:bCs/>
                <w:szCs w:val="22"/>
              </w:rPr>
            </w:pPr>
            <w:r w:rsidRPr="0045134F">
              <w:rPr>
                <w:rFonts w:ascii="Times New Roman" w:hAnsi="Times New Roman" w:cs="Times New Roman"/>
                <w:b/>
                <w:bCs/>
                <w:szCs w:val="22"/>
              </w:rPr>
              <w:t xml:space="preserve">$              </w:t>
            </w:r>
            <w:r w:rsidR="00615455">
              <w:rPr>
                <w:rFonts w:ascii="Times New Roman" w:hAnsi="Times New Roman" w:cs="Times New Roman"/>
                <w:b/>
                <w:bCs/>
                <w:szCs w:val="22"/>
              </w:rPr>
              <w:t xml:space="preserve">     </w:t>
            </w:r>
            <w:r w:rsidRPr="0045134F">
              <w:rPr>
                <w:rFonts w:ascii="Times New Roman" w:hAnsi="Times New Roman" w:cs="Times New Roman"/>
                <w:b/>
                <w:bCs/>
                <w:szCs w:val="22"/>
              </w:rPr>
              <w:t xml:space="preserve">   100.96</w:t>
            </w:r>
          </w:p>
        </w:tc>
        <w:tc>
          <w:tcPr>
            <w:tcW w:w="2360" w:type="dxa"/>
            <w:gridSpan w:val="2"/>
          </w:tcPr>
          <w:p w:rsidR="00BD2C56" w:rsidRPr="0045134F" w:rsidRDefault="00BD2C56" w:rsidP="0045134F">
            <w:pPr>
              <w:pStyle w:val="Default"/>
              <w:jc w:val="center"/>
              <w:rPr>
                <w:rFonts w:ascii="Times New Roman" w:hAnsi="Times New Roman" w:cs="Times New Roman"/>
                <w:b/>
                <w:bCs/>
                <w:szCs w:val="22"/>
              </w:rPr>
            </w:pPr>
            <w:r w:rsidRPr="0045134F">
              <w:rPr>
                <w:rFonts w:ascii="Times New Roman" w:hAnsi="Times New Roman" w:cs="Times New Roman"/>
                <w:b/>
                <w:bCs/>
                <w:szCs w:val="22"/>
              </w:rPr>
              <w:t>1.7%</w:t>
            </w:r>
          </w:p>
        </w:tc>
      </w:tr>
    </w:tbl>
    <w:p w:rsidR="00E03135" w:rsidRPr="00515418" w:rsidRDefault="00E03135" w:rsidP="006948EC">
      <w:pPr>
        <w:rPr>
          <w:b/>
          <w:sz w:val="24"/>
          <w:szCs w:val="24"/>
        </w:rPr>
      </w:pPr>
    </w:p>
    <w:p w:rsidR="00A9232F" w:rsidRPr="00515418" w:rsidRDefault="00A9232F" w:rsidP="006948EC">
      <w:pPr>
        <w:rPr>
          <w:b/>
          <w:sz w:val="24"/>
          <w:szCs w:val="24"/>
        </w:rPr>
      </w:pPr>
      <w:r w:rsidRPr="00515418">
        <w:rPr>
          <w:b/>
          <w:sz w:val="24"/>
          <w:szCs w:val="24"/>
        </w:rPr>
        <w:t>C. Small Business Impact</w:t>
      </w:r>
    </w:p>
    <w:p w:rsidR="006948EC" w:rsidRPr="00515418" w:rsidRDefault="005C4CED" w:rsidP="006948EC">
      <w:pPr>
        <w:rPr>
          <w:sz w:val="24"/>
          <w:szCs w:val="24"/>
        </w:rPr>
      </w:pPr>
      <w:r>
        <w:rPr>
          <w:sz w:val="24"/>
          <w:szCs w:val="24"/>
        </w:rPr>
        <w:t xml:space="preserve"> </w:t>
      </w:r>
    </w:p>
    <w:p w:rsidR="00E0391D" w:rsidRDefault="007B2871" w:rsidP="006C6F46">
      <w:pPr>
        <w:rPr>
          <w:sz w:val="24"/>
          <w:szCs w:val="24"/>
        </w:rPr>
      </w:pPr>
      <w:r w:rsidRPr="00515418">
        <w:rPr>
          <w:sz w:val="24"/>
          <w:szCs w:val="24"/>
        </w:rPr>
        <w:t>The proposed regulation</w:t>
      </w:r>
      <w:r w:rsidR="000502EF" w:rsidRPr="00515418">
        <w:rPr>
          <w:sz w:val="24"/>
          <w:szCs w:val="24"/>
        </w:rPr>
        <w:t xml:space="preserve">’s effect on the cost </w:t>
      </w:r>
      <w:r w:rsidR="00E0391D">
        <w:rPr>
          <w:sz w:val="24"/>
          <w:szCs w:val="24"/>
        </w:rPr>
        <w:t xml:space="preserve">of </w:t>
      </w:r>
      <w:r w:rsidR="00926052">
        <w:rPr>
          <w:sz w:val="24"/>
          <w:szCs w:val="24"/>
        </w:rPr>
        <w:t xml:space="preserve">electricity </w:t>
      </w:r>
      <w:r w:rsidRPr="00515418">
        <w:rPr>
          <w:sz w:val="24"/>
          <w:szCs w:val="24"/>
        </w:rPr>
        <w:t>will affect small businesses</w:t>
      </w:r>
      <w:r w:rsidR="00C522A8">
        <w:rPr>
          <w:sz w:val="24"/>
          <w:szCs w:val="24"/>
        </w:rPr>
        <w:t xml:space="preserve"> as seen in Table 1 above</w:t>
      </w:r>
      <w:r w:rsidR="0032711C" w:rsidRPr="00515418">
        <w:rPr>
          <w:sz w:val="24"/>
          <w:szCs w:val="24"/>
        </w:rPr>
        <w:t>.</w:t>
      </w:r>
      <w:r w:rsidR="005C4CED">
        <w:rPr>
          <w:sz w:val="24"/>
          <w:szCs w:val="24"/>
        </w:rPr>
        <w:t xml:space="preserve"> </w:t>
      </w:r>
      <w:r w:rsidR="00EA3227" w:rsidRPr="00515418">
        <w:rPr>
          <w:sz w:val="24"/>
          <w:szCs w:val="24"/>
        </w:rPr>
        <w:t>It is unknown how many small businesses this may effect.</w:t>
      </w:r>
      <w:r w:rsidR="005C4CED">
        <w:rPr>
          <w:sz w:val="24"/>
          <w:szCs w:val="24"/>
        </w:rPr>
        <w:t xml:space="preserve"> </w:t>
      </w:r>
      <w:r w:rsidR="00A9232F" w:rsidRPr="00515418">
        <w:rPr>
          <w:sz w:val="24"/>
          <w:szCs w:val="24"/>
        </w:rPr>
        <w:t xml:space="preserve">The </w:t>
      </w:r>
      <w:r w:rsidR="00B370D7">
        <w:rPr>
          <w:sz w:val="24"/>
          <w:szCs w:val="24"/>
        </w:rPr>
        <w:t>amendment</w:t>
      </w:r>
      <w:r w:rsidR="00A9232F" w:rsidRPr="00515418">
        <w:rPr>
          <w:sz w:val="24"/>
          <w:szCs w:val="24"/>
        </w:rPr>
        <w:t xml:space="preserve"> </w:t>
      </w:r>
      <w:r w:rsidR="00B370D7">
        <w:rPr>
          <w:sz w:val="24"/>
          <w:szCs w:val="24"/>
        </w:rPr>
        <w:t xml:space="preserve">Section 22a-174-31 </w:t>
      </w:r>
      <w:r w:rsidR="00A9232F" w:rsidRPr="00515418">
        <w:rPr>
          <w:sz w:val="24"/>
          <w:szCs w:val="24"/>
        </w:rPr>
        <w:t>of the</w:t>
      </w:r>
      <w:r w:rsidR="00B370D7">
        <w:rPr>
          <w:sz w:val="24"/>
          <w:szCs w:val="24"/>
        </w:rPr>
        <w:t xml:space="preserve"> RCSA is</w:t>
      </w:r>
      <w:r w:rsidR="00A9232F" w:rsidRPr="00515418">
        <w:rPr>
          <w:sz w:val="24"/>
          <w:szCs w:val="24"/>
        </w:rPr>
        <w:t xml:space="preserve"> not expected to have any other adverse impacts on </w:t>
      </w:r>
      <w:r w:rsidR="006340F4" w:rsidRPr="00515418">
        <w:rPr>
          <w:sz w:val="24"/>
          <w:szCs w:val="24"/>
        </w:rPr>
        <w:t>small</w:t>
      </w:r>
      <w:r w:rsidR="00A9232F" w:rsidRPr="00515418">
        <w:rPr>
          <w:sz w:val="24"/>
          <w:szCs w:val="24"/>
        </w:rPr>
        <w:t xml:space="preserve"> businesses.</w:t>
      </w:r>
    </w:p>
    <w:p w:rsidR="006C6F46" w:rsidRPr="00515418" w:rsidRDefault="005C4CED" w:rsidP="006C6F46">
      <w:pPr>
        <w:rPr>
          <w:sz w:val="24"/>
          <w:szCs w:val="24"/>
        </w:rPr>
      </w:pPr>
      <w:r>
        <w:rPr>
          <w:sz w:val="24"/>
          <w:szCs w:val="24"/>
        </w:rPr>
        <w:t xml:space="preserve"> </w:t>
      </w:r>
    </w:p>
    <w:p w:rsidR="006C6F46" w:rsidRDefault="00C072ED" w:rsidP="006C6F46">
      <w:pPr>
        <w:rPr>
          <w:sz w:val="24"/>
          <w:szCs w:val="24"/>
        </w:rPr>
      </w:pPr>
      <w:r>
        <w:rPr>
          <w:sz w:val="24"/>
          <w:szCs w:val="24"/>
        </w:rPr>
        <w:t>To the extent that small businesses take advantage of enhanced energy efficiency or renewable energy programs supported by RGGI auction proceeds, these businesses will benefit from the program far in excess of the marginal rate impacts.</w:t>
      </w:r>
      <w:r w:rsidR="005C4CED">
        <w:rPr>
          <w:sz w:val="24"/>
          <w:szCs w:val="24"/>
        </w:rPr>
        <w:t xml:space="preserve"> </w:t>
      </w:r>
    </w:p>
    <w:p w:rsidR="00C072ED" w:rsidRPr="00515418" w:rsidRDefault="00C072ED" w:rsidP="006C6F46">
      <w:pPr>
        <w:rPr>
          <w:sz w:val="24"/>
          <w:szCs w:val="24"/>
        </w:rPr>
      </w:pPr>
    </w:p>
    <w:p w:rsidR="00B50FD4" w:rsidRDefault="006C6F46" w:rsidP="006C6F46">
      <w:pPr>
        <w:rPr>
          <w:sz w:val="24"/>
          <w:szCs w:val="24"/>
        </w:rPr>
      </w:pPr>
      <w:r w:rsidRPr="00515418">
        <w:rPr>
          <w:sz w:val="24"/>
          <w:szCs w:val="24"/>
        </w:rPr>
        <w:t xml:space="preserve">If you should have any questions on the attached information, please contact </w:t>
      </w:r>
      <w:r w:rsidR="00B50FD4">
        <w:rPr>
          <w:sz w:val="24"/>
          <w:szCs w:val="24"/>
        </w:rPr>
        <w:t>Eric Annes</w:t>
      </w:r>
      <w:r w:rsidR="009A22A2">
        <w:rPr>
          <w:sz w:val="24"/>
          <w:szCs w:val="24"/>
        </w:rPr>
        <w:t xml:space="preserve"> </w:t>
      </w:r>
      <w:r w:rsidRPr="00515418">
        <w:rPr>
          <w:sz w:val="24"/>
          <w:szCs w:val="24"/>
        </w:rPr>
        <w:t xml:space="preserve">at </w:t>
      </w:r>
    </w:p>
    <w:p w:rsidR="006C6F46" w:rsidRPr="00515418" w:rsidRDefault="00B50FD4" w:rsidP="006C6F46">
      <w:pPr>
        <w:rPr>
          <w:sz w:val="24"/>
          <w:szCs w:val="24"/>
        </w:rPr>
      </w:pPr>
      <w:r>
        <w:rPr>
          <w:sz w:val="24"/>
          <w:szCs w:val="24"/>
        </w:rPr>
        <w:t>860-827-2833</w:t>
      </w:r>
      <w:r w:rsidR="006C6F46" w:rsidRPr="00515418">
        <w:rPr>
          <w:sz w:val="24"/>
          <w:szCs w:val="24"/>
        </w:rPr>
        <w:t>.</w:t>
      </w:r>
    </w:p>
    <w:p w:rsidR="000502EF" w:rsidRPr="00515418" w:rsidRDefault="000502EF" w:rsidP="00905F89">
      <w:pPr>
        <w:rPr>
          <w:sz w:val="18"/>
          <w:szCs w:val="18"/>
        </w:rPr>
      </w:pPr>
    </w:p>
    <w:sectPr w:rsidR="000502EF" w:rsidRPr="00515418" w:rsidSect="00AD73BD">
      <w:headerReference w:type="even" r:id="rId9"/>
      <w:headerReference w:type="default" r:id="rId10"/>
      <w:pgSz w:w="12240" w:h="15840" w:code="1"/>
      <w:pgMar w:top="576" w:right="1152" w:bottom="72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074" w:rsidRDefault="00615074" w:rsidP="00BD45C4">
      <w:r>
        <w:separator/>
      </w:r>
    </w:p>
  </w:endnote>
  <w:endnote w:type="continuationSeparator" w:id="0">
    <w:p w:rsidR="00615074" w:rsidRDefault="00615074" w:rsidP="00BD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074" w:rsidRDefault="00615074" w:rsidP="00BD45C4">
      <w:r>
        <w:separator/>
      </w:r>
    </w:p>
  </w:footnote>
  <w:footnote w:type="continuationSeparator" w:id="0">
    <w:p w:rsidR="00615074" w:rsidRDefault="00615074" w:rsidP="00BD45C4">
      <w:r>
        <w:continuationSeparator/>
      </w:r>
    </w:p>
  </w:footnote>
  <w:footnote w:id="1">
    <w:p w:rsidR="00A52F07" w:rsidRDefault="00A52F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19" w:rsidRDefault="00A31C1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1C19" w:rsidRDefault="00A31C1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19" w:rsidRDefault="00A31C19">
    <w:pPr>
      <w:pStyle w:val="Header"/>
    </w:pPr>
    <w:r>
      <w:t>Amendment of RCSA Section 22a-174-31</w:t>
    </w:r>
  </w:p>
  <w:p w:rsidR="00A31C19" w:rsidRDefault="00A31C19">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84A69"/>
    <w:multiLevelType w:val="hybridMultilevel"/>
    <w:tmpl w:val="E86ADE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EC"/>
    <w:rsid w:val="000160AF"/>
    <w:rsid w:val="00020C78"/>
    <w:rsid w:val="000502EF"/>
    <w:rsid w:val="0008443E"/>
    <w:rsid w:val="00093D9C"/>
    <w:rsid w:val="000D29A6"/>
    <w:rsid w:val="00116AE8"/>
    <w:rsid w:val="001542D0"/>
    <w:rsid w:val="001C45D7"/>
    <w:rsid w:val="001D4FAB"/>
    <w:rsid w:val="001F690C"/>
    <w:rsid w:val="00222B46"/>
    <w:rsid w:val="0023201F"/>
    <w:rsid w:val="00233250"/>
    <w:rsid w:val="00274B69"/>
    <w:rsid w:val="00286E21"/>
    <w:rsid w:val="0032711C"/>
    <w:rsid w:val="00330CF6"/>
    <w:rsid w:val="0033657B"/>
    <w:rsid w:val="003668A0"/>
    <w:rsid w:val="003742F5"/>
    <w:rsid w:val="00374502"/>
    <w:rsid w:val="003A4058"/>
    <w:rsid w:val="003C3826"/>
    <w:rsid w:val="003C5A08"/>
    <w:rsid w:val="003D5BAF"/>
    <w:rsid w:val="003E5532"/>
    <w:rsid w:val="00401138"/>
    <w:rsid w:val="00416E5C"/>
    <w:rsid w:val="0045134F"/>
    <w:rsid w:val="004532C5"/>
    <w:rsid w:val="00484E7F"/>
    <w:rsid w:val="00495F2B"/>
    <w:rsid w:val="004979CC"/>
    <w:rsid w:val="004B5E81"/>
    <w:rsid w:val="004C375E"/>
    <w:rsid w:val="004D2D5B"/>
    <w:rsid w:val="004E506B"/>
    <w:rsid w:val="0051534C"/>
    <w:rsid w:val="00515418"/>
    <w:rsid w:val="0055471E"/>
    <w:rsid w:val="005741AE"/>
    <w:rsid w:val="005816E5"/>
    <w:rsid w:val="005C4CED"/>
    <w:rsid w:val="005D2215"/>
    <w:rsid w:val="00601580"/>
    <w:rsid w:val="00613121"/>
    <w:rsid w:val="00615074"/>
    <w:rsid w:val="00615455"/>
    <w:rsid w:val="006175BB"/>
    <w:rsid w:val="006340F4"/>
    <w:rsid w:val="006562A9"/>
    <w:rsid w:val="00674410"/>
    <w:rsid w:val="00687C22"/>
    <w:rsid w:val="006948EC"/>
    <w:rsid w:val="006C1D11"/>
    <w:rsid w:val="006C49EA"/>
    <w:rsid w:val="006C6F46"/>
    <w:rsid w:val="0075009F"/>
    <w:rsid w:val="007542CB"/>
    <w:rsid w:val="007A314E"/>
    <w:rsid w:val="007B2871"/>
    <w:rsid w:val="007B5FC5"/>
    <w:rsid w:val="007F0584"/>
    <w:rsid w:val="00813DC4"/>
    <w:rsid w:val="00855049"/>
    <w:rsid w:val="00873150"/>
    <w:rsid w:val="008D0D61"/>
    <w:rsid w:val="008D3334"/>
    <w:rsid w:val="008E393A"/>
    <w:rsid w:val="00905F89"/>
    <w:rsid w:val="009102C4"/>
    <w:rsid w:val="00912BD5"/>
    <w:rsid w:val="009209B0"/>
    <w:rsid w:val="00922C05"/>
    <w:rsid w:val="00923A3F"/>
    <w:rsid w:val="00926052"/>
    <w:rsid w:val="0092619A"/>
    <w:rsid w:val="0093072C"/>
    <w:rsid w:val="00992AEB"/>
    <w:rsid w:val="009953EC"/>
    <w:rsid w:val="009A22A2"/>
    <w:rsid w:val="009A60CD"/>
    <w:rsid w:val="009B79DF"/>
    <w:rsid w:val="009C5EF7"/>
    <w:rsid w:val="00A020A4"/>
    <w:rsid w:val="00A2798D"/>
    <w:rsid w:val="00A31C19"/>
    <w:rsid w:val="00A52F07"/>
    <w:rsid w:val="00A87E62"/>
    <w:rsid w:val="00A9232F"/>
    <w:rsid w:val="00A95D11"/>
    <w:rsid w:val="00AD73BD"/>
    <w:rsid w:val="00AE4C07"/>
    <w:rsid w:val="00B124B7"/>
    <w:rsid w:val="00B221CC"/>
    <w:rsid w:val="00B326A4"/>
    <w:rsid w:val="00B370D7"/>
    <w:rsid w:val="00B41F9B"/>
    <w:rsid w:val="00B42E04"/>
    <w:rsid w:val="00B50FD4"/>
    <w:rsid w:val="00BB6308"/>
    <w:rsid w:val="00BC5402"/>
    <w:rsid w:val="00BD2C56"/>
    <w:rsid w:val="00BD45C4"/>
    <w:rsid w:val="00BE31AA"/>
    <w:rsid w:val="00C072ED"/>
    <w:rsid w:val="00C16E35"/>
    <w:rsid w:val="00C25FCF"/>
    <w:rsid w:val="00C35CC5"/>
    <w:rsid w:val="00C4525E"/>
    <w:rsid w:val="00C522A8"/>
    <w:rsid w:val="00C62457"/>
    <w:rsid w:val="00C92770"/>
    <w:rsid w:val="00CD2804"/>
    <w:rsid w:val="00CE0699"/>
    <w:rsid w:val="00D2334F"/>
    <w:rsid w:val="00D26525"/>
    <w:rsid w:val="00D475F5"/>
    <w:rsid w:val="00D662CE"/>
    <w:rsid w:val="00D96ADA"/>
    <w:rsid w:val="00DC08D4"/>
    <w:rsid w:val="00E03135"/>
    <w:rsid w:val="00E0391D"/>
    <w:rsid w:val="00E21647"/>
    <w:rsid w:val="00EA3227"/>
    <w:rsid w:val="00EB3458"/>
    <w:rsid w:val="00EC0C26"/>
    <w:rsid w:val="00EF5697"/>
    <w:rsid w:val="00F025DF"/>
    <w:rsid w:val="00F92083"/>
    <w:rsid w:val="00FA3B01"/>
    <w:rsid w:val="00FB082E"/>
    <w:rsid w:val="00FE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69A82613-4901-4E67-AC47-3ECA3EBA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8EC"/>
    <w:rPr>
      <w:rFonts w:ascii="Times New Roman" w:eastAsia="Times New Roman" w:hAnsi="Times New Roman"/>
      <w:color w:val="000000"/>
    </w:rPr>
  </w:style>
  <w:style w:type="paragraph" w:styleId="Heading1">
    <w:name w:val="heading 1"/>
    <w:basedOn w:val="Normal"/>
    <w:next w:val="Normal"/>
    <w:link w:val="Heading1Char"/>
    <w:qFormat/>
    <w:rsid w:val="006948EC"/>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8EC"/>
    <w:rPr>
      <w:rFonts w:ascii="Arial" w:eastAsia="Times New Roman" w:hAnsi="Arial" w:cs="Times New Roman"/>
      <w:b/>
      <w:color w:val="000000"/>
      <w:kern w:val="28"/>
      <w:sz w:val="28"/>
      <w:szCs w:val="20"/>
    </w:rPr>
  </w:style>
  <w:style w:type="paragraph" w:styleId="BodyText">
    <w:name w:val="Body Text"/>
    <w:basedOn w:val="Normal"/>
    <w:link w:val="BodyTextChar"/>
    <w:semiHidden/>
    <w:rsid w:val="006948EC"/>
    <w:rPr>
      <w:sz w:val="24"/>
    </w:rPr>
  </w:style>
  <w:style w:type="character" w:customStyle="1" w:styleId="BodyTextChar">
    <w:name w:val="Body Text Char"/>
    <w:basedOn w:val="DefaultParagraphFont"/>
    <w:link w:val="BodyText"/>
    <w:semiHidden/>
    <w:rsid w:val="006948EC"/>
    <w:rPr>
      <w:rFonts w:ascii="Times New Roman" w:eastAsia="Times New Roman" w:hAnsi="Times New Roman" w:cs="Times New Roman"/>
      <w:color w:val="000000"/>
      <w:sz w:val="24"/>
      <w:szCs w:val="20"/>
    </w:rPr>
  </w:style>
  <w:style w:type="paragraph" w:styleId="Header">
    <w:name w:val="header"/>
    <w:basedOn w:val="Normal"/>
    <w:link w:val="HeaderChar"/>
    <w:uiPriority w:val="99"/>
    <w:rsid w:val="006948EC"/>
    <w:pPr>
      <w:tabs>
        <w:tab w:val="center" w:pos="4320"/>
        <w:tab w:val="right" w:pos="8640"/>
      </w:tabs>
    </w:pPr>
  </w:style>
  <w:style w:type="character" w:customStyle="1" w:styleId="HeaderChar">
    <w:name w:val="Header Char"/>
    <w:basedOn w:val="DefaultParagraphFont"/>
    <w:link w:val="Header"/>
    <w:uiPriority w:val="99"/>
    <w:rsid w:val="006948EC"/>
    <w:rPr>
      <w:rFonts w:ascii="Times New Roman" w:eastAsia="Times New Roman" w:hAnsi="Times New Roman" w:cs="Times New Roman"/>
      <w:color w:val="000000"/>
      <w:sz w:val="20"/>
      <w:szCs w:val="20"/>
    </w:rPr>
  </w:style>
  <w:style w:type="character" w:styleId="PageNumber">
    <w:name w:val="page number"/>
    <w:basedOn w:val="DefaultParagraphFont"/>
    <w:semiHidden/>
    <w:rsid w:val="006948EC"/>
  </w:style>
  <w:style w:type="paragraph" w:styleId="Footer">
    <w:name w:val="footer"/>
    <w:basedOn w:val="Normal"/>
    <w:link w:val="FooterChar"/>
    <w:uiPriority w:val="99"/>
    <w:unhideWhenUsed/>
    <w:rsid w:val="00BD45C4"/>
    <w:pPr>
      <w:tabs>
        <w:tab w:val="center" w:pos="4680"/>
        <w:tab w:val="right" w:pos="9360"/>
      </w:tabs>
    </w:pPr>
  </w:style>
  <w:style w:type="character" w:customStyle="1" w:styleId="FooterChar">
    <w:name w:val="Footer Char"/>
    <w:basedOn w:val="DefaultParagraphFont"/>
    <w:link w:val="Footer"/>
    <w:uiPriority w:val="99"/>
    <w:rsid w:val="00BD45C4"/>
    <w:rPr>
      <w:rFonts w:ascii="Times New Roman" w:eastAsia="Times New Roman" w:hAnsi="Times New Roman"/>
      <w:color w:val="000000"/>
    </w:rPr>
  </w:style>
  <w:style w:type="paragraph" w:styleId="FootnoteText">
    <w:name w:val="footnote text"/>
    <w:basedOn w:val="Normal"/>
    <w:link w:val="FootnoteTextChar"/>
    <w:uiPriority w:val="99"/>
    <w:semiHidden/>
    <w:unhideWhenUsed/>
    <w:rsid w:val="0032711C"/>
  </w:style>
  <w:style w:type="character" w:customStyle="1" w:styleId="FootnoteTextChar">
    <w:name w:val="Footnote Text Char"/>
    <w:basedOn w:val="DefaultParagraphFont"/>
    <w:link w:val="FootnoteText"/>
    <w:uiPriority w:val="99"/>
    <w:semiHidden/>
    <w:rsid w:val="0032711C"/>
    <w:rPr>
      <w:rFonts w:ascii="Times New Roman" w:eastAsia="Times New Roman" w:hAnsi="Times New Roman"/>
      <w:color w:val="000000"/>
    </w:rPr>
  </w:style>
  <w:style w:type="character" w:styleId="FootnoteReference">
    <w:name w:val="footnote reference"/>
    <w:basedOn w:val="DefaultParagraphFont"/>
    <w:uiPriority w:val="99"/>
    <w:semiHidden/>
    <w:unhideWhenUsed/>
    <w:rsid w:val="0032711C"/>
    <w:rPr>
      <w:vertAlign w:val="superscript"/>
    </w:rPr>
  </w:style>
  <w:style w:type="paragraph" w:customStyle="1" w:styleId="Default">
    <w:name w:val="Default"/>
    <w:rsid w:val="00E03135"/>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7F0584"/>
    <w:rPr>
      <w:rFonts w:ascii="Tahoma" w:hAnsi="Tahoma" w:cs="Tahoma"/>
      <w:sz w:val="16"/>
      <w:szCs w:val="16"/>
    </w:rPr>
  </w:style>
  <w:style w:type="character" w:customStyle="1" w:styleId="BalloonTextChar">
    <w:name w:val="Balloon Text Char"/>
    <w:basedOn w:val="DefaultParagraphFont"/>
    <w:link w:val="BalloonText"/>
    <w:uiPriority w:val="99"/>
    <w:semiHidden/>
    <w:rsid w:val="007F0584"/>
    <w:rPr>
      <w:rFonts w:ascii="Tahoma" w:eastAsia="Times New Roman" w:hAnsi="Tahoma" w:cs="Tahoma"/>
      <w:color w:val="000000"/>
      <w:sz w:val="16"/>
      <w:szCs w:val="16"/>
    </w:rPr>
  </w:style>
  <w:style w:type="paragraph" w:styleId="EndnoteText">
    <w:name w:val="endnote text"/>
    <w:basedOn w:val="Normal"/>
    <w:link w:val="EndnoteTextChar"/>
    <w:uiPriority w:val="99"/>
    <w:semiHidden/>
    <w:unhideWhenUsed/>
    <w:rsid w:val="0008443E"/>
  </w:style>
  <w:style w:type="character" w:customStyle="1" w:styleId="EndnoteTextChar">
    <w:name w:val="Endnote Text Char"/>
    <w:basedOn w:val="DefaultParagraphFont"/>
    <w:link w:val="EndnoteText"/>
    <w:uiPriority w:val="99"/>
    <w:semiHidden/>
    <w:rsid w:val="0008443E"/>
    <w:rPr>
      <w:rFonts w:ascii="Times New Roman" w:eastAsia="Times New Roman" w:hAnsi="Times New Roman"/>
      <w:color w:val="000000"/>
    </w:rPr>
  </w:style>
  <w:style w:type="character" w:styleId="EndnoteReference">
    <w:name w:val="endnote reference"/>
    <w:basedOn w:val="DefaultParagraphFont"/>
    <w:uiPriority w:val="99"/>
    <w:semiHidden/>
    <w:unhideWhenUsed/>
    <w:rsid w:val="0008443E"/>
    <w:rPr>
      <w:vertAlign w:val="superscript"/>
    </w:rPr>
  </w:style>
  <w:style w:type="character" w:styleId="CommentReference">
    <w:name w:val="annotation reference"/>
    <w:basedOn w:val="DefaultParagraphFont"/>
    <w:uiPriority w:val="99"/>
    <w:semiHidden/>
    <w:unhideWhenUsed/>
    <w:rsid w:val="00D2334F"/>
    <w:rPr>
      <w:sz w:val="16"/>
      <w:szCs w:val="16"/>
    </w:rPr>
  </w:style>
  <w:style w:type="paragraph" w:styleId="CommentText">
    <w:name w:val="annotation text"/>
    <w:basedOn w:val="Normal"/>
    <w:link w:val="CommentTextChar"/>
    <w:uiPriority w:val="99"/>
    <w:semiHidden/>
    <w:unhideWhenUsed/>
    <w:rsid w:val="00D2334F"/>
  </w:style>
  <w:style w:type="character" w:customStyle="1" w:styleId="CommentTextChar">
    <w:name w:val="Comment Text Char"/>
    <w:basedOn w:val="DefaultParagraphFont"/>
    <w:link w:val="CommentText"/>
    <w:uiPriority w:val="99"/>
    <w:semiHidden/>
    <w:rsid w:val="00D2334F"/>
    <w:rPr>
      <w:rFonts w:ascii="Times New Roman" w:eastAsia="Times New Roman" w:hAnsi="Times New Roman"/>
      <w:color w:val="000000"/>
    </w:rPr>
  </w:style>
  <w:style w:type="paragraph" w:styleId="CommentSubject">
    <w:name w:val="annotation subject"/>
    <w:basedOn w:val="CommentText"/>
    <w:next w:val="CommentText"/>
    <w:link w:val="CommentSubjectChar"/>
    <w:uiPriority w:val="99"/>
    <w:semiHidden/>
    <w:unhideWhenUsed/>
    <w:rsid w:val="00D2334F"/>
    <w:rPr>
      <w:b/>
      <w:bCs/>
    </w:rPr>
  </w:style>
  <w:style w:type="character" w:customStyle="1" w:styleId="CommentSubjectChar">
    <w:name w:val="Comment Subject Char"/>
    <w:basedOn w:val="CommentTextChar"/>
    <w:link w:val="CommentSubject"/>
    <w:uiPriority w:val="99"/>
    <w:semiHidden/>
    <w:rsid w:val="00D2334F"/>
    <w:rPr>
      <w:rFonts w:ascii="Times New Roman" w:eastAsia="Times New Roman" w:hAnsi="Times New Roman"/>
      <w:b/>
      <w:bCs/>
      <w:color w:val="000000"/>
    </w:rPr>
  </w:style>
  <w:style w:type="table" w:styleId="TableGrid">
    <w:name w:val="Table Grid"/>
    <w:basedOn w:val="TableNormal"/>
    <w:uiPriority w:val="59"/>
    <w:rsid w:val="004C3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2C56"/>
    <w:rPr>
      <w:rFonts w:ascii="Times New Roman" w:eastAsia="Times New Roman" w:hAnsi="Times New Roman"/>
      <w:color w:val="000000"/>
    </w:rPr>
  </w:style>
  <w:style w:type="table" w:styleId="TableGridLight">
    <w:name w:val="Grid Table Light"/>
    <w:basedOn w:val="TableNormal"/>
    <w:uiPriority w:val="40"/>
    <w:rsid w:val="00BD2C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8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CE37A-0466-4A14-89FC-3C3F3A326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DEP</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Merrily</dc:creator>
  <cp:lastModifiedBy>Siri Chillara</cp:lastModifiedBy>
  <cp:revision>12</cp:revision>
  <cp:lastPrinted>2013-07-11T15:13:00Z</cp:lastPrinted>
  <dcterms:created xsi:type="dcterms:W3CDTF">2018-06-18T14:46:00Z</dcterms:created>
  <dcterms:modified xsi:type="dcterms:W3CDTF">2018-07-06T19:01:00Z</dcterms:modified>
</cp:coreProperties>
</file>