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86" w:rsidRPr="00561760" w:rsidRDefault="00345C53" w:rsidP="00561760">
      <w:pPr>
        <w:rPr>
          <w:b/>
          <w:i/>
        </w:rPr>
      </w:pPr>
      <w:r w:rsidRPr="00561760">
        <w:rPr>
          <w:b/>
          <w:i/>
        </w:rPr>
        <w:t>Why f</w:t>
      </w:r>
      <w:r w:rsidR="00C91968" w:rsidRPr="00561760">
        <w:rPr>
          <w:b/>
          <w:i/>
        </w:rPr>
        <w:t xml:space="preserve">ocus on </w:t>
      </w:r>
      <w:r w:rsidR="00063C86" w:rsidRPr="00561760">
        <w:rPr>
          <w:b/>
          <w:i/>
        </w:rPr>
        <w:t>HFCs?</w:t>
      </w:r>
    </w:p>
    <w:p w:rsidR="00063C86" w:rsidRPr="00063C86" w:rsidRDefault="00063C86" w:rsidP="00611D1B">
      <w:r w:rsidRPr="00063C86">
        <w:t xml:space="preserve">Hydrofluorocarbons, or HFCs, are potent short-lived climate pollutants, with global warming potentials </w:t>
      </w:r>
      <w:r w:rsidR="007F7625">
        <w:t>100s</w:t>
      </w:r>
      <w:r w:rsidRPr="00063C86">
        <w:t xml:space="preserve"> to </w:t>
      </w:r>
      <w:r>
        <w:t>1000s</w:t>
      </w:r>
      <w:r w:rsidRPr="00063C86">
        <w:t xml:space="preserve"> of times greater than </w:t>
      </w:r>
      <w:r>
        <w:t>CO</w:t>
      </w:r>
      <w:r w:rsidRPr="00586F00">
        <w:rPr>
          <w:vertAlign w:val="subscript"/>
        </w:rPr>
        <w:t>2</w:t>
      </w:r>
      <w:r>
        <w:t xml:space="preserve">.  </w:t>
      </w:r>
      <w:r w:rsidRPr="00063C86">
        <w:t xml:space="preserve">For example, just </w:t>
      </w:r>
      <w:r w:rsidR="00586F00">
        <w:t>1</w:t>
      </w:r>
      <w:r w:rsidR="00611D1B">
        <w:t> lb.</w:t>
      </w:r>
      <w:r w:rsidRPr="00063C86">
        <w:t xml:space="preserve"> of R-404A, an HFC refrigerant used in supermarkets, has the global warming potential</w:t>
      </w:r>
      <w:r w:rsidR="007F7625">
        <w:t xml:space="preserve"> (GWP)</w:t>
      </w:r>
      <w:r w:rsidRPr="00063C86">
        <w:t xml:space="preserve"> of almost </w:t>
      </w:r>
      <w:r w:rsidR="00586F00">
        <w:t>2</w:t>
      </w:r>
      <w:r w:rsidRPr="00063C86">
        <w:t xml:space="preserve"> tons of CO</w:t>
      </w:r>
      <w:r w:rsidRPr="00586F00">
        <w:rPr>
          <w:vertAlign w:val="subscript"/>
        </w:rPr>
        <w:t>2</w:t>
      </w:r>
      <w:r w:rsidRPr="00063C86">
        <w:t xml:space="preserve">, equivalent to driving a car more than </w:t>
      </w:r>
      <w:r w:rsidR="00586F00">
        <w:t>4000</w:t>
      </w:r>
      <w:r w:rsidRPr="00063C86">
        <w:t xml:space="preserve"> miles.</w:t>
      </w:r>
      <w:r w:rsidR="00611D1B" w:rsidRPr="00611D1B">
        <w:t xml:space="preserve"> </w:t>
      </w:r>
      <w:r w:rsidR="007F7625">
        <w:t xml:space="preserve"> </w:t>
      </w:r>
      <w:r w:rsidR="005F3BF1">
        <w:t>HFCs</w:t>
      </w:r>
      <w:r w:rsidR="00611D1B" w:rsidRPr="00611D1B">
        <w:t xml:space="preserve"> are the fasting growing </w:t>
      </w:r>
      <w:r w:rsidR="005F3BF1">
        <w:t>greenhouse gases, both</w:t>
      </w:r>
      <w:r w:rsidR="00611D1B" w:rsidRPr="00611D1B">
        <w:t xml:space="preserve"> nationally and globally.</w:t>
      </w:r>
      <w:r w:rsidR="00611D1B">
        <w:t xml:space="preserve">  </w:t>
      </w:r>
      <w:r w:rsidR="00611D1B" w:rsidRPr="00611D1B">
        <w:t>Without further controls, HFC emissions will double in 20 years.</w:t>
      </w:r>
    </w:p>
    <w:p w:rsidR="00611D1B" w:rsidRPr="00561760" w:rsidRDefault="00611D1B" w:rsidP="00561760">
      <w:pPr>
        <w:rPr>
          <w:b/>
          <w:i/>
        </w:rPr>
      </w:pPr>
      <w:r w:rsidRPr="00561760">
        <w:rPr>
          <w:b/>
          <w:i/>
        </w:rPr>
        <w:t>What are national and international effort</w:t>
      </w:r>
      <w:r w:rsidR="00911923" w:rsidRPr="00561760">
        <w:rPr>
          <w:b/>
          <w:i/>
        </w:rPr>
        <w:t>s to control</w:t>
      </w:r>
      <w:r w:rsidRPr="00561760">
        <w:rPr>
          <w:b/>
          <w:i/>
        </w:rPr>
        <w:t xml:space="preserve"> HFCs?</w:t>
      </w:r>
    </w:p>
    <w:p w:rsidR="00611D1B" w:rsidRDefault="00F72D14" w:rsidP="00611D1B">
      <w:r>
        <w:t>Successful implementation of th</w:t>
      </w:r>
      <w:r w:rsidR="00611D1B" w:rsidRPr="00611D1B">
        <w:t xml:space="preserve">e Kigali Amendment to the Montreal Protocol </w:t>
      </w:r>
      <w:r>
        <w:t>will</w:t>
      </w:r>
      <w:r w:rsidR="00611D1B" w:rsidRPr="00611D1B">
        <w:t xml:space="preserve"> </w:t>
      </w:r>
      <w:r w:rsidR="005F3BF1">
        <w:t>reduce</w:t>
      </w:r>
      <w:r w:rsidR="00611D1B" w:rsidRPr="00611D1B">
        <w:t xml:space="preserve"> the </w:t>
      </w:r>
      <w:r w:rsidR="005F3BF1">
        <w:t xml:space="preserve">global </w:t>
      </w:r>
      <w:r w:rsidR="00611D1B" w:rsidRPr="00611D1B">
        <w:t>production of HFCs</w:t>
      </w:r>
      <w:r w:rsidR="005F3BF1">
        <w:t xml:space="preserve"> by 85% by 20</w:t>
      </w:r>
      <w:r w:rsidR="00D66923">
        <w:t>47 (a</w:t>
      </w:r>
      <w:r w:rsidR="007466BF">
        <w:t xml:space="preserve">lthough the baseline </w:t>
      </w:r>
      <w:r w:rsidR="00D66923">
        <w:t>allow</w:t>
      </w:r>
      <w:r w:rsidR="007466BF">
        <w:t>s</w:t>
      </w:r>
      <w:r w:rsidR="00D66923">
        <w:t xml:space="preserve"> </w:t>
      </w:r>
      <w:r w:rsidR="007466BF">
        <w:t xml:space="preserve">for significant </w:t>
      </w:r>
      <w:r w:rsidR="00D66923">
        <w:t>HFC growth in developing countries over the next 4</w:t>
      </w:r>
      <w:r w:rsidR="00D66923">
        <w:noBreakHyphen/>
        <w:t>8 years)</w:t>
      </w:r>
      <w:r>
        <w:t xml:space="preserve">.  </w:t>
      </w:r>
      <w:r w:rsidR="00611D1B" w:rsidRPr="00611D1B">
        <w:t xml:space="preserve">The first phasedown </w:t>
      </w:r>
      <w:r w:rsidR="00302DF6">
        <w:t xml:space="preserve">step </w:t>
      </w:r>
      <w:r w:rsidR="00611D1B" w:rsidRPr="00611D1B">
        <w:t>applies to developed countries</w:t>
      </w:r>
      <w:r w:rsidR="00302DF6">
        <w:t xml:space="preserve"> on</w:t>
      </w:r>
      <w:r w:rsidR="00611D1B" w:rsidRPr="00611D1B">
        <w:t xml:space="preserve"> January</w:t>
      </w:r>
      <w:r w:rsidR="007F7625">
        <w:t xml:space="preserve"> 1, 2019</w:t>
      </w:r>
      <w:r w:rsidR="00611D1B" w:rsidRPr="00611D1B">
        <w:t>.</w:t>
      </w:r>
      <w:r w:rsidR="00611D1B">
        <w:t xml:space="preserve">  </w:t>
      </w:r>
      <w:r w:rsidR="00611D1B" w:rsidRPr="00611D1B">
        <w:t>The U</w:t>
      </w:r>
      <w:r w:rsidR="00611D1B">
        <w:t>.S.</w:t>
      </w:r>
      <w:r w:rsidR="00611D1B" w:rsidRPr="00611D1B">
        <w:t xml:space="preserve"> signed the Kigali Amendment in November 2016 but has not taken action to ratify it through the U.S.</w:t>
      </w:r>
      <w:r>
        <w:t> </w:t>
      </w:r>
      <w:r w:rsidR="00611D1B" w:rsidRPr="00611D1B">
        <w:t xml:space="preserve">Senate.  </w:t>
      </w:r>
      <w:r w:rsidR="00911923" w:rsidRPr="00611D1B">
        <w:t>Moreover,</w:t>
      </w:r>
      <w:r w:rsidR="00611D1B" w:rsidRPr="00611D1B">
        <w:t xml:space="preserve"> if ratified, </w:t>
      </w:r>
      <w:r w:rsidR="00BC6495" w:rsidRPr="00BC6495">
        <w:t xml:space="preserve">U.S. EPA </w:t>
      </w:r>
      <w:r w:rsidR="00611D1B" w:rsidRPr="00611D1B">
        <w:t>would need to implement.</w:t>
      </w:r>
    </w:p>
    <w:p w:rsidR="00611D1B" w:rsidRPr="00611D1B" w:rsidRDefault="00611D1B" w:rsidP="00611D1B">
      <w:r w:rsidRPr="00611D1B">
        <w:t xml:space="preserve">EPA’s Significant New Alternatives Policy, known as SNAP, implements Section 612 of the amended Clean Air Act of 1990, which requires EPA to evaluate replacements for ozone-depleting substances </w:t>
      </w:r>
      <w:r w:rsidR="003C7483">
        <w:t>(</w:t>
      </w:r>
      <w:r w:rsidR="00BC6495">
        <w:t xml:space="preserve">CFCs and HCFCs) </w:t>
      </w:r>
      <w:r w:rsidRPr="00611D1B">
        <w:t>to reduce overall risk to human health and the environment.  These replacements include HFCs.</w:t>
      </w:r>
      <w:r w:rsidR="00911923">
        <w:t xml:space="preserve">  </w:t>
      </w:r>
      <w:r w:rsidRPr="00611D1B">
        <w:t>EPA applied this authority to prohibit high-</w:t>
      </w:r>
      <w:r w:rsidR="00EC5509">
        <w:t>GWP</w:t>
      </w:r>
      <w:r w:rsidRPr="00611D1B">
        <w:t xml:space="preserve"> HFCs in new equipment and materials as viable lower</w:t>
      </w:r>
      <w:r w:rsidR="005F3BF1">
        <w:t>-</w:t>
      </w:r>
      <w:r w:rsidRPr="00611D1B">
        <w:t>GWP alternatives became available.</w:t>
      </w:r>
      <w:r w:rsidR="00911923">
        <w:t xml:space="preserve">  </w:t>
      </w:r>
      <w:r w:rsidRPr="00611D1B">
        <w:t xml:space="preserve">However, last year the </w:t>
      </w:r>
      <w:r w:rsidR="00BC6495">
        <w:t xml:space="preserve">federal </w:t>
      </w:r>
      <w:r w:rsidRPr="00611D1B">
        <w:t xml:space="preserve">D.C. Circuit Court of Appeals decided EPA </w:t>
      </w:r>
      <w:proofErr w:type="gramStart"/>
      <w:r w:rsidRPr="00611D1B">
        <w:t>cannot</w:t>
      </w:r>
      <w:proofErr w:type="gramEnd"/>
      <w:r w:rsidRPr="00611D1B">
        <w:t xml:space="preserve"> </w:t>
      </w:r>
      <w:r w:rsidR="00F72D14">
        <w:t>prohibit previously approved H</w:t>
      </w:r>
      <w:r w:rsidRPr="00611D1B">
        <w:t xml:space="preserve">FCs </w:t>
      </w:r>
      <w:r w:rsidR="00F72D14">
        <w:t>through th</w:t>
      </w:r>
      <w:r w:rsidR="00BC6495">
        <w:t xml:space="preserve">is </w:t>
      </w:r>
      <w:r w:rsidR="003C7483">
        <w:t>authority</w:t>
      </w:r>
      <w:r w:rsidRPr="00611D1B">
        <w:t>.</w:t>
      </w:r>
    </w:p>
    <w:p w:rsidR="00586F00" w:rsidRPr="00561760" w:rsidRDefault="00586F00" w:rsidP="00561760">
      <w:pPr>
        <w:rPr>
          <w:b/>
          <w:i/>
        </w:rPr>
      </w:pPr>
      <w:r w:rsidRPr="00561760">
        <w:rPr>
          <w:b/>
          <w:i/>
        </w:rPr>
        <w:t>What can States do to reduce HFCs?</w:t>
      </w:r>
    </w:p>
    <w:p w:rsidR="003B1674" w:rsidRDefault="00911923" w:rsidP="00063C86">
      <w:r>
        <w:t>Stat</w:t>
      </w:r>
      <w:r w:rsidR="003B1674">
        <w:t>e</w:t>
      </w:r>
      <w:r>
        <w:t>s c</w:t>
      </w:r>
      <w:r w:rsidR="007F7625">
        <w:t>an</w:t>
      </w:r>
      <w:r>
        <w:t xml:space="preserve"> support </w:t>
      </w:r>
      <w:r w:rsidR="003B1674">
        <w:t>S. 2448, a bipartisan bill introduced by Kennedy (LA)</w:t>
      </w:r>
      <w:r w:rsidR="00EC5509">
        <w:t xml:space="preserve"> </w:t>
      </w:r>
      <w:r w:rsidR="001D74BC">
        <w:t>that</w:t>
      </w:r>
      <w:r w:rsidR="00EC5509">
        <w:t xml:space="preserve"> enjoys wide industry support</w:t>
      </w:r>
      <w:r w:rsidR="003B1674">
        <w:t xml:space="preserve">. </w:t>
      </w:r>
      <w:r w:rsidR="001D74BC">
        <w:t xml:space="preserve"> </w:t>
      </w:r>
      <w:r w:rsidR="003B1674">
        <w:t>The “‘American Innovation and Manufacturing Act of 2018” would require that the U.S. follow the HFC phasedown of the Kigali Amendment.</w:t>
      </w:r>
      <w:r w:rsidR="00561760">
        <w:t xml:space="preserve">  An industry-sponsored economic analysis will soon be available.</w:t>
      </w:r>
    </w:p>
    <w:p w:rsidR="001D74BC" w:rsidRDefault="003B1674" w:rsidP="00EC5509">
      <w:r>
        <w:t>States with GHG regulatory authority c</w:t>
      </w:r>
      <w:r w:rsidR="007F7625">
        <w:t>an</w:t>
      </w:r>
      <w:r>
        <w:t xml:space="preserve"> join California and Canada in adopting the vacated SNAP </w:t>
      </w:r>
      <w:r w:rsidR="00EC5509">
        <w:t xml:space="preserve">high-GWP prohibitions.  This would create a </w:t>
      </w:r>
      <w:r w:rsidR="00EC5509" w:rsidRPr="00EC5509">
        <w:rPr>
          <w:i/>
        </w:rPr>
        <w:t>de facto</w:t>
      </w:r>
      <w:r w:rsidR="00EC5509">
        <w:t xml:space="preserve"> U.S. market for a large variety of new low-GWP equipment – residential refrigerators, self-contained refrigeration units used by convenience stores, refrigerated vending machines, </w:t>
      </w:r>
      <w:r w:rsidR="007F7625">
        <w:t xml:space="preserve">motor vehicle AC systems, </w:t>
      </w:r>
      <w:r w:rsidR="00EC5509">
        <w:t>aerosol propellants, and foams used in buildings and other uses.</w:t>
      </w:r>
      <w:r w:rsidR="001D74BC" w:rsidRPr="001D74BC">
        <w:t xml:space="preserve"> </w:t>
      </w:r>
      <w:r w:rsidR="001D74BC">
        <w:t xml:space="preserve"> </w:t>
      </w:r>
      <w:r w:rsidR="00D66923">
        <w:t>I</w:t>
      </w:r>
      <w:r w:rsidR="001D74BC" w:rsidRPr="001D74BC">
        <w:t xml:space="preserve">ndustry has already </w:t>
      </w:r>
      <w:r w:rsidR="001D74BC">
        <w:t xml:space="preserve">or will soon </w:t>
      </w:r>
      <w:r w:rsidR="001D74BC" w:rsidRPr="001D74BC">
        <w:t>transition</w:t>
      </w:r>
      <w:r w:rsidR="001D74BC">
        <w:t>, and this action would prevent backsliding</w:t>
      </w:r>
    </w:p>
    <w:p w:rsidR="001D74BC" w:rsidRDefault="00D66923" w:rsidP="001D74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4036695</wp:posOffset>
            </wp:positionH>
            <wp:positionV relativeFrom="paragraph">
              <wp:posOffset>43535</wp:posOffset>
            </wp:positionV>
            <wp:extent cx="1974215" cy="1536065"/>
            <wp:effectExtent l="0" t="0" r="6985" b="6985"/>
            <wp:wrapThrough wrapText="bothSides">
              <wp:wrapPolygon edited="0">
                <wp:start x="0" y="0"/>
                <wp:lineTo x="0" y="21430"/>
                <wp:lineTo x="21468" y="21430"/>
                <wp:lineTo x="2146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509">
        <w:t>States c</w:t>
      </w:r>
      <w:r w:rsidR="007F7625">
        <w:t>an</w:t>
      </w:r>
      <w:r w:rsidR="00EC5509">
        <w:t xml:space="preserve"> adopt </w:t>
      </w:r>
      <w:r w:rsidR="001D74BC">
        <w:t xml:space="preserve">vacated </w:t>
      </w:r>
      <w:r w:rsidR="00EC5509">
        <w:t xml:space="preserve">SNAP requirements </w:t>
      </w:r>
      <w:r w:rsidR="001D74BC">
        <w:t>f</w:t>
      </w:r>
      <w:r w:rsidR="00EC5509">
        <w:t xml:space="preserve">or </w:t>
      </w:r>
      <w:r w:rsidR="001D74BC">
        <w:t>new (or retrofit) supermarkets and other large commercial refrigeration systems</w:t>
      </w:r>
      <w:r w:rsidR="003C7483">
        <w:t xml:space="preserve"> (the largest HFC-emitting sector)</w:t>
      </w:r>
      <w:r w:rsidR="001D74BC">
        <w:t xml:space="preserve">.  This action would prevent the use of </w:t>
      </w:r>
      <w:r w:rsidR="001D74BC" w:rsidRPr="001D74BC">
        <w:t>R</w:t>
      </w:r>
      <w:r w:rsidR="001D74BC">
        <w:noBreakHyphen/>
      </w:r>
      <w:r w:rsidR="001D74BC" w:rsidRPr="001D74BC">
        <w:t>404A</w:t>
      </w:r>
      <w:r w:rsidR="001D74BC">
        <w:t xml:space="preserve"> and other very high-GWP refrigerants.</w:t>
      </w:r>
    </w:p>
    <w:p w:rsidR="001D74BC" w:rsidRPr="001D74BC" w:rsidRDefault="001D74BC" w:rsidP="001D74BC">
      <w:r>
        <w:t>States c</w:t>
      </w:r>
      <w:r w:rsidR="007F7625">
        <w:t>an</w:t>
      </w:r>
      <w:r>
        <w:t xml:space="preserve"> join California in developing requirements and incentive programs for low</w:t>
      </w:r>
      <w:r w:rsidR="007F7625">
        <w:t>er</w:t>
      </w:r>
      <w:r>
        <w:t xml:space="preserve">-GWP </w:t>
      </w:r>
      <w:r w:rsidR="007F7625">
        <w:t xml:space="preserve">and higher energy-efficiency </w:t>
      </w:r>
      <w:r>
        <w:t xml:space="preserve">refrigeration systems in supermarkets.  </w:t>
      </w:r>
      <w:r w:rsidR="007F7625" w:rsidRPr="007F7625">
        <w:t xml:space="preserve">In North America, more than 300 stores use </w:t>
      </w:r>
      <w:proofErr w:type="spellStart"/>
      <w:r w:rsidR="007F7625" w:rsidRPr="007F7625">
        <w:t>transcritical</w:t>
      </w:r>
      <w:proofErr w:type="spellEnd"/>
      <w:r w:rsidR="007F7625" w:rsidRPr="007F7625">
        <w:t xml:space="preserve"> CO</w:t>
      </w:r>
      <w:r w:rsidR="007F7625" w:rsidRPr="007F7625">
        <w:rPr>
          <w:vertAlign w:val="subscript"/>
        </w:rPr>
        <w:t>2</w:t>
      </w:r>
      <w:r w:rsidR="007F7625" w:rsidRPr="007F7625">
        <w:t>, and another 260 use a hybrid system of CO</w:t>
      </w:r>
      <w:r w:rsidR="007F7625" w:rsidRPr="007F7625">
        <w:rPr>
          <w:vertAlign w:val="subscript"/>
        </w:rPr>
        <w:t>2</w:t>
      </w:r>
      <w:r w:rsidR="007F7625" w:rsidRPr="007F7625">
        <w:t xml:space="preserve"> and HFCs.</w:t>
      </w:r>
    </w:p>
    <w:p w:rsidR="007F7625" w:rsidRDefault="007F7625" w:rsidP="00EC5509">
      <w:r w:rsidRPr="007F7625">
        <w:lastRenderedPageBreak/>
        <w:t>States can join California in developing requirements and incentive programs for low</w:t>
      </w:r>
      <w:r w:rsidR="005F3BF1">
        <w:t>er</w:t>
      </w:r>
      <w:r w:rsidR="00086667">
        <w:noBreakHyphen/>
      </w:r>
      <w:r w:rsidRPr="007F7625">
        <w:t xml:space="preserve">GWP </w:t>
      </w:r>
      <w:r>
        <w:t xml:space="preserve">air conditioning systems for homes and commercial buildings.  There are three major efforts by equipment manufacturers to get </w:t>
      </w:r>
      <w:r w:rsidR="005F3BF1">
        <w:t xml:space="preserve">lower-GWP </w:t>
      </w:r>
      <w:r>
        <w:t>solutions approved through international and national code and standards committees.</w:t>
      </w:r>
    </w:p>
    <w:p w:rsidR="00586F00" w:rsidRPr="00561760" w:rsidRDefault="00586F00" w:rsidP="00561760">
      <w:pPr>
        <w:rPr>
          <w:b/>
          <w:i/>
        </w:rPr>
      </w:pPr>
      <w:r w:rsidRPr="00561760">
        <w:rPr>
          <w:b/>
          <w:i/>
        </w:rPr>
        <w:t xml:space="preserve">What are the </w:t>
      </w:r>
      <w:r w:rsidR="00611D1B" w:rsidRPr="00561760">
        <w:rPr>
          <w:b/>
          <w:i/>
        </w:rPr>
        <w:t>benefits</w:t>
      </w:r>
      <w:r w:rsidRPr="00561760">
        <w:rPr>
          <w:b/>
          <w:i/>
        </w:rPr>
        <w:t xml:space="preserve"> of State-specific HFC </w:t>
      </w:r>
      <w:r w:rsidR="00834FC2" w:rsidRPr="00561760">
        <w:rPr>
          <w:b/>
          <w:i/>
        </w:rPr>
        <w:t xml:space="preserve">emission </w:t>
      </w:r>
      <w:r w:rsidRPr="00561760">
        <w:rPr>
          <w:b/>
          <w:i/>
        </w:rPr>
        <w:t>inventories?</w:t>
      </w:r>
    </w:p>
    <w:p w:rsidR="00086667" w:rsidRDefault="00086667" w:rsidP="00911923">
      <w:r>
        <w:t xml:space="preserve">The ability to project emissions by sector would </w:t>
      </w:r>
      <w:r w:rsidR="005F3BF1">
        <w:t>allow</w:t>
      </w:r>
      <w:r>
        <w:t xml:space="preserve"> States to look at the benefits of potential regulatory and incentive programs on future emission</w:t>
      </w:r>
      <w:r w:rsidR="006B68BD">
        <w:t>s</w:t>
      </w:r>
      <w:r w:rsidR="00302DF6">
        <w:t>, as shown by the examples below for California</w:t>
      </w:r>
      <w:r>
        <w:t>.</w:t>
      </w:r>
    </w:p>
    <w:p w:rsidR="00086667" w:rsidRDefault="00086667" w:rsidP="00911923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20320</wp:posOffset>
            </wp:positionV>
            <wp:extent cx="2228850" cy="1706880"/>
            <wp:effectExtent l="0" t="0" r="0" b="7620"/>
            <wp:wrapThrough wrapText="bothSides">
              <wp:wrapPolygon edited="0">
                <wp:start x="0" y="0"/>
                <wp:lineTo x="0" y="21455"/>
                <wp:lineTo x="21415" y="21455"/>
                <wp:lineTo x="21415" y="0"/>
                <wp:lineTo x="0" y="0"/>
              </wp:wrapPolygon>
            </wp:wrapThrough>
            <wp:docPr id="2" name="Picture 2" descr="cid:image002.png@01D3D726.5D483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2" descr="cid:image002.png@01D3D726.5D483A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A559F0" wp14:editId="30781A44">
            <wp:extent cx="2466589" cy="1747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50" cy="1757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923" w:rsidRDefault="00086667" w:rsidP="00086667">
      <w:pPr>
        <w:jc w:val="center"/>
      </w:pPr>
      <w:r>
        <w:t xml:space="preserve">California 2030 HFC emissions – BAU </w:t>
      </w:r>
      <w:r w:rsidR="00834FC2">
        <w:t>(</w:t>
      </w:r>
      <w:r>
        <w:t>left</w:t>
      </w:r>
      <w:r w:rsidR="00834FC2">
        <w:t>) and path to 40% reduction goal (right)</w:t>
      </w:r>
    </w:p>
    <w:p w:rsidR="00834FC2" w:rsidRPr="00561760" w:rsidRDefault="00834FC2" w:rsidP="00561760">
      <w:pPr>
        <w:rPr>
          <w:b/>
          <w:i/>
        </w:rPr>
      </w:pPr>
      <w:r w:rsidRPr="00561760">
        <w:rPr>
          <w:b/>
          <w:i/>
        </w:rPr>
        <w:t>What are the options to develop State-specific HFC emission inventories?</w:t>
      </w:r>
    </w:p>
    <w:p w:rsidR="00834FC2" w:rsidRDefault="00834FC2" w:rsidP="00834FC2">
      <w:r>
        <w:t xml:space="preserve">EPA publishes annual HFC emission estimates on a nation-wide basis that would need to </w:t>
      </w:r>
      <w:proofErr w:type="gramStart"/>
      <w:r>
        <w:t>be allocated</w:t>
      </w:r>
      <w:proofErr w:type="gramEnd"/>
      <w:r>
        <w:t xml:space="preserve"> to all 50 States.  Although HFC emissions </w:t>
      </w:r>
      <w:proofErr w:type="gramStart"/>
      <w:r>
        <w:t>are closely correlated</w:t>
      </w:r>
      <w:proofErr w:type="gramEnd"/>
      <w:r>
        <w:t xml:space="preserve"> to population, different regions of the U.S. have different HFC emission profile</w:t>
      </w:r>
      <w:r w:rsidR="00302DF6">
        <w:t>s</w:t>
      </w:r>
      <w:r>
        <w:t xml:space="preserve"> based on differences in climate.  For example, more than 90% of homes in Georgia have central AC, compared to 60% of homes nationally (with an additional 15% using room ACs).  In</w:t>
      </w:r>
      <w:r w:rsidR="00DD1BA6">
        <w:t> </w:t>
      </w:r>
      <w:r>
        <w:t>Colorado, only 35% of homes have central AC.</w:t>
      </w:r>
    </w:p>
    <w:p w:rsidR="00834FC2" w:rsidRDefault="00834FC2" w:rsidP="00834FC2">
      <w:r>
        <w:t xml:space="preserve">The California Air Resources Board </w:t>
      </w:r>
      <w:r w:rsidR="00302DF6">
        <w:t xml:space="preserve">(CARB) </w:t>
      </w:r>
      <w:r>
        <w:t xml:space="preserve">developed a </w:t>
      </w:r>
      <w:r w:rsidR="00302DF6">
        <w:t xml:space="preserve">peer-reviewed </w:t>
      </w:r>
      <w:r>
        <w:t xml:space="preserve">bottom-up </w:t>
      </w:r>
      <w:r w:rsidR="00DD1BA6">
        <w:t>F</w:t>
      </w:r>
      <w:r w:rsidR="00DD1BA6">
        <w:noBreakHyphen/>
        <w:t>gas (</w:t>
      </w:r>
      <w:r w:rsidR="00A92505">
        <w:t xml:space="preserve">all </w:t>
      </w:r>
      <w:r w:rsidR="00DD1BA6">
        <w:t xml:space="preserve">fluorine-containing gases, including </w:t>
      </w:r>
      <w:r>
        <w:t>HFC</w:t>
      </w:r>
      <w:r w:rsidR="00DD1BA6">
        <w:t>s, HCFCs, PFCs, SF</w:t>
      </w:r>
      <w:r w:rsidR="00DD1BA6" w:rsidRPr="00DD1BA6">
        <w:rPr>
          <w:vertAlign w:val="subscript"/>
        </w:rPr>
        <w:t>6</w:t>
      </w:r>
      <w:r w:rsidR="00DD1BA6">
        <w:t xml:space="preserve">, and still leaking CFCs) </w:t>
      </w:r>
      <w:r w:rsidR="00302DF6">
        <w:t>emission inventory</w:t>
      </w:r>
      <w:r w:rsidR="00BC6495">
        <w:t>,</w:t>
      </w:r>
      <w:r w:rsidR="006B68BD">
        <w:rPr>
          <w:rStyle w:val="FootnoteReference"/>
        </w:rPr>
        <w:footnoteReference w:id="1"/>
      </w:r>
      <w:r w:rsidR="00302DF6">
        <w:t xml:space="preserve"> based on </w:t>
      </w:r>
      <w:r w:rsidR="00302DF6" w:rsidRPr="00302DF6">
        <w:t>over $</w:t>
      </w:r>
      <w:r w:rsidR="00302DF6">
        <w:t>2.</w:t>
      </w:r>
      <w:r w:rsidR="008C4390">
        <w:t>5</w:t>
      </w:r>
      <w:r w:rsidR="003C7483">
        <w:t>M</w:t>
      </w:r>
      <w:r w:rsidR="00302DF6" w:rsidRPr="00302DF6">
        <w:t xml:space="preserve"> of research and surveys </w:t>
      </w:r>
      <w:r w:rsidR="00302DF6">
        <w:t xml:space="preserve">on </w:t>
      </w:r>
      <w:r>
        <w:t xml:space="preserve">equipment and </w:t>
      </w:r>
      <w:r w:rsidR="00302DF6">
        <w:t>leak rat</w:t>
      </w:r>
      <w:r>
        <w:t>e</w:t>
      </w:r>
      <w:r w:rsidR="00302DF6">
        <w:t>s, and comparison to atmospheric measurements</w:t>
      </w:r>
      <w:r>
        <w:t>.</w:t>
      </w:r>
      <w:r w:rsidR="005F3BF1">
        <w:rPr>
          <w:rStyle w:val="FootnoteReference"/>
        </w:rPr>
        <w:footnoteReference w:id="2"/>
      </w:r>
      <w:r>
        <w:t xml:space="preserve">  The C</w:t>
      </w:r>
      <w:r w:rsidR="00302DF6">
        <w:t>ARB</w:t>
      </w:r>
      <w:r>
        <w:t xml:space="preserve"> </w:t>
      </w:r>
      <w:r w:rsidR="00302DF6">
        <w:t xml:space="preserve">methodology </w:t>
      </w:r>
      <w:proofErr w:type="gramStart"/>
      <w:r>
        <w:t>can be customized</w:t>
      </w:r>
      <w:proofErr w:type="gramEnd"/>
      <w:r>
        <w:t xml:space="preserve"> </w:t>
      </w:r>
      <w:r w:rsidR="00302DF6">
        <w:t xml:space="preserve">to each State </w:t>
      </w:r>
      <w:r>
        <w:t xml:space="preserve">by using data on </w:t>
      </w:r>
      <w:r w:rsidR="00302DF6">
        <w:t xml:space="preserve">the </w:t>
      </w:r>
      <w:r>
        <w:t xml:space="preserve">numbers and types of equipment </w:t>
      </w:r>
      <w:r w:rsidR="003C7483">
        <w:t xml:space="preserve">– </w:t>
      </w:r>
      <w:r>
        <w:t xml:space="preserve">for example, numbers of retail food markets, AC units, cold storage warehouses, and other data as available.  Where no </w:t>
      </w:r>
      <w:r w:rsidR="00302DF6">
        <w:t>S</w:t>
      </w:r>
      <w:r>
        <w:t xml:space="preserve">tate data exists, default emission factors on a </w:t>
      </w:r>
      <w:r w:rsidR="00302DF6">
        <w:t xml:space="preserve">per capita basis </w:t>
      </w:r>
      <w:proofErr w:type="gramStart"/>
      <w:r w:rsidR="00302DF6">
        <w:t>c</w:t>
      </w:r>
      <w:r w:rsidR="00384AF7">
        <w:t>an be</w:t>
      </w:r>
      <w:r w:rsidR="00302DF6">
        <w:t xml:space="preserve"> used</w:t>
      </w:r>
      <w:proofErr w:type="gramEnd"/>
      <w:r w:rsidR="00302DF6">
        <w:t>.</w:t>
      </w:r>
    </w:p>
    <w:p w:rsidR="00834FC2" w:rsidRDefault="00302DF6" w:rsidP="00834FC2">
      <w:r>
        <w:t xml:space="preserve">We estimate that it would take </w:t>
      </w:r>
      <w:r w:rsidR="00384AF7">
        <w:t>2</w:t>
      </w:r>
      <w:r>
        <w:t>-</w:t>
      </w:r>
      <w:r w:rsidR="00CB0408">
        <w:t>3</w:t>
      </w:r>
      <w:r>
        <w:t xml:space="preserve"> months </w:t>
      </w:r>
      <w:r w:rsidR="008C4390">
        <w:t xml:space="preserve">to work with States </w:t>
      </w:r>
      <w:r w:rsidR="00CB0408">
        <w:t xml:space="preserve">and/or a contractor </w:t>
      </w:r>
      <w:r>
        <w:t xml:space="preserve">to compile the data and </w:t>
      </w:r>
      <w:r w:rsidR="00DD1BA6">
        <w:t>apply</w:t>
      </w:r>
      <w:r>
        <w:t xml:space="preserve"> the methodology</w:t>
      </w:r>
      <w:r w:rsidR="00384AF7">
        <w:t xml:space="preserve">, giving all States the ability to </w:t>
      </w:r>
      <w:r>
        <w:t>pred</w:t>
      </w:r>
      <w:r w:rsidR="00384AF7">
        <w:t>i</w:t>
      </w:r>
      <w:r>
        <w:t>ct BAU emission</w:t>
      </w:r>
      <w:r w:rsidR="00CB0408">
        <w:t>s</w:t>
      </w:r>
      <w:r>
        <w:t xml:space="preserve"> from the </w:t>
      </w:r>
      <w:r>
        <w:lastRenderedPageBreak/>
        <w:t xml:space="preserve">present through 2030, and </w:t>
      </w:r>
      <w:r w:rsidR="00BC6495">
        <w:t xml:space="preserve">to </w:t>
      </w:r>
      <w:r>
        <w:t xml:space="preserve">look at the </w:t>
      </w:r>
      <w:r w:rsidR="00384AF7">
        <w:t>e</w:t>
      </w:r>
      <w:r>
        <w:t>ffects of vario</w:t>
      </w:r>
      <w:r w:rsidR="00384AF7">
        <w:t>u</w:t>
      </w:r>
      <w:r>
        <w:t xml:space="preserve">s </w:t>
      </w:r>
      <w:r w:rsidR="00834FC2">
        <w:t xml:space="preserve">incentive programs or requirements to transition away from high-GWP </w:t>
      </w:r>
      <w:r>
        <w:t>HFCs.</w:t>
      </w:r>
    </w:p>
    <w:p w:rsidR="00697358" w:rsidRPr="00561760" w:rsidRDefault="00697358" w:rsidP="006B68BD">
      <w:pPr>
        <w:spacing w:before="100" w:beforeAutospacing="1" w:after="0"/>
        <w:rPr>
          <w:b/>
          <w:i/>
        </w:rPr>
      </w:pPr>
      <w:r w:rsidRPr="00561760">
        <w:rPr>
          <w:b/>
          <w:i/>
        </w:rPr>
        <w:t>More Details on State-Specific HFC Emission Estimates</w:t>
      </w:r>
    </w:p>
    <w:p w:rsidR="00697358" w:rsidRPr="00697358" w:rsidRDefault="00697358" w:rsidP="00697358">
      <w:r w:rsidRPr="00697358">
        <w:t xml:space="preserve">State-specific inventories of HFC banks (installed base) and emissions </w:t>
      </w:r>
      <w:proofErr w:type="gramStart"/>
      <w:r w:rsidRPr="00697358">
        <w:t>can be developed</w:t>
      </w:r>
      <w:proofErr w:type="gramEnd"/>
      <w:r w:rsidRPr="00697358">
        <w:t xml:space="preserve"> by designing a basic database or linked spreadsheets with default emission factors pre-loaded for the user, with update capabilities also installed.  California has developed an HFC inventory methodology </w:t>
      </w:r>
      <w:r w:rsidR="00A90CBF">
        <w:t xml:space="preserve">(see visual below) </w:t>
      </w:r>
      <w:r w:rsidRPr="00697358">
        <w:t xml:space="preserve">that </w:t>
      </w:r>
      <w:proofErr w:type="gramStart"/>
      <w:r w:rsidRPr="00697358">
        <w:t>can be applied</w:t>
      </w:r>
      <w:proofErr w:type="gramEnd"/>
      <w:r w:rsidRPr="00697358">
        <w:t xml:space="preserve"> to other </w:t>
      </w:r>
      <w:r w:rsidR="00F72D14">
        <w:t>S</w:t>
      </w:r>
      <w:r w:rsidRPr="00697358">
        <w:t xml:space="preserve">tates, based on the </w:t>
      </w:r>
      <w:r w:rsidR="00F72D14">
        <w:t>S</w:t>
      </w:r>
      <w:r w:rsidRPr="00697358">
        <w:t xml:space="preserve">tate’s population and </w:t>
      </w:r>
      <w:r w:rsidR="00F72D14">
        <w:t>S</w:t>
      </w:r>
      <w:r w:rsidRPr="00697358">
        <w:t xml:space="preserve">tate-specific factors.  </w:t>
      </w:r>
      <w:r w:rsidR="00A92505">
        <w:t xml:space="preserve">Other F-gases could also be included.  </w:t>
      </w:r>
      <w:r w:rsidRPr="00697358">
        <w:t xml:space="preserve">For example, the following numbers of facilities/equipment </w:t>
      </w:r>
      <w:proofErr w:type="gramStart"/>
      <w:r w:rsidRPr="00697358">
        <w:t>could be plugged in</w:t>
      </w:r>
      <w:proofErr w:type="gramEnd"/>
      <w:r w:rsidRPr="00697358">
        <w:t xml:space="preserve"> for a given </w:t>
      </w:r>
      <w:r w:rsidR="00F72D14">
        <w:t>S</w:t>
      </w:r>
      <w:r w:rsidRPr="00697358">
        <w:t>tate:</w:t>
      </w:r>
    </w:p>
    <w:p w:rsidR="00697358" w:rsidRPr="00697358" w:rsidRDefault="00697358" w:rsidP="003C7483">
      <w:pPr>
        <w:numPr>
          <w:ilvl w:val="0"/>
          <w:numId w:val="4"/>
        </w:numPr>
        <w:spacing w:after="0"/>
      </w:pPr>
      <w:r w:rsidRPr="00697358">
        <w:t xml:space="preserve">Passenger vehicles (for </w:t>
      </w:r>
      <w:r w:rsidR="003C7483">
        <w:t>motor vehicle A</w:t>
      </w:r>
      <w:r w:rsidRPr="00697358">
        <w:t>C)</w:t>
      </w:r>
    </w:p>
    <w:p w:rsidR="00697358" w:rsidRPr="00697358" w:rsidRDefault="00A92505" w:rsidP="003C7483">
      <w:pPr>
        <w:numPr>
          <w:ilvl w:val="0"/>
          <w:numId w:val="4"/>
        </w:numPr>
        <w:spacing w:after="0"/>
      </w:pPr>
      <w:r>
        <w:t>Commercial buildings (</w:t>
      </w:r>
      <w:r w:rsidR="00BC6495">
        <w:t xml:space="preserve">for </w:t>
      </w:r>
      <w:r>
        <w:t>AC)</w:t>
      </w:r>
    </w:p>
    <w:p w:rsidR="00BC6495" w:rsidRDefault="00697358" w:rsidP="009536B7">
      <w:pPr>
        <w:numPr>
          <w:ilvl w:val="0"/>
          <w:numId w:val="4"/>
        </w:numPr>
        <w:spacing w:after="0"/>
      </w:pPr>
      <w:r w:rsidRPr="00697358">
        <w:t xml:space="preserve">Residences – single unit homes </w:t>
      </w:r>
      <w:r w:rsidR="00BC6495">
        <w:t>and</w:t>
      </w:r>
      <w:r w:rsidRPr="00697358">
        <w:t xml:space="preserve"> </w:t>
      </w:r>
      <w:r w:rsidR="00BC6495">
        <w:t>apartment building</w:t>
      </w:r>
    </w:p>
    <w:p w:rsidR="00697358" w:rsidRPr="00697358" w:rsidRDefault="00697358" w:rsidP="00E331FC">
      <w:pPr>
        <w:pStyle w:val="ListParagraph"/>
        <w:numPr>
          <w:ilvl w:val="0"/>
          <w:numId w:val="4"/>
        </w:numPr>
        <w:spacing w:after="0"/>
      </w:pPr>
      <w:r w:rsidRPr="00697358">
        <w:t>Main climate zones</w:t>
      </w:r>
      <w:r w:rsidR="00BC6495">
        <w:t xml:space="preserve"> (to allow for </w:t>
      </w:r>
      <w:r w:rsidR="00BC6495" w:rsidRPr="00BC6495">
        <w:t xml:space="preserve">different AC defaults </w:t>
      </w:r>
      <w:r w:rsidR="00BC6495">
        <w:t xml:space="preserve">by </w:t>
      </w:r>
      <w:r w:rsidR="00BC6495" w:rsidRPr="00BC6495">
        <w:t>climate zone</w:t>
      </w:r>
      <w:r w:rsidR="00BC6495">
        <w:t>)</w:t>
      </w:r>
    </w:p>
    <w:p w:rsidR="00697358" w:rsidRPr="00697358" w:rsidRDefault="00697358" w:rsidP="003C7483">
      <w:pPr>
        <w:numPr>
          <w:ilvl w:val="0"/>
          <w:numId w:val="4"/>
        </w:numPr>
        <w:spacing w:after="0"/>
      </w:pPr>
      <w:r w:rsidRPr="00697358">
        <w:t>Supermarkets</w:t>
      </w:r>
    </w:p>
    <w:p w:rsidR="00697358" w:rsidRPr="00697358" w:rsidRDefault="00697358" w:rsidP="003C7483">
      <w:pPr>
        <w:numPr>
          <w:ilvl w:val="0"/>
          <w:numId w:val="4"/>
        </w:numPr>
        <w:spacing w:after="0"/>
      </w:pPr>
      <w:r w:rsidRPr="00697358">
        <w:t>Smaller grocery stores and convenience stores</w:t>
      </w:r>
    </w:p>
    <w:p w:rsidR="00697358" w:rsidRPr="00697358" w:rsidRDefault="00697358" w:rsidP="003C7483">
      <w:pPr>
        <w:numPr>
          <w:ilvl w:val="0"/>
          <w:numId w:val="4"/>
        </w:numPr>
        <w:spacing w:after="0"/>
      </w:pPr>
      <w:r w:rsidRPr="00697358">
        <w:t>Cold storage facilities (non-ammonia)</w:t>
      </w:r>
    </w:p>
    <w:p w:rsidR="00697358" w:rsidRPr="00697358" w:rsidRDefault="00697358" w:rsidP="003C7483">
      <w:pPr>
        <w:numPr>
          <w:ilvl w:val="0"/>
          <w:numId w:val="4"/>
        </w:numPr>
        <w:spacing w:after="0"/>
      </w:pPr>
      <w:r w:rsidRPr="00697358">
        <w:t>Industrial plants using large amounts of refrigerant (petrochemical, plastics, pharmaceutical)</w:t>
      </w:r>
    </w:p>
    <w:p w:rsidR="00697358" w:rsidRPr="00697358" w:rsidRDefault="00697358" w:rsidP="00697358">
      <w:pPr>
        <w:numPr>
          <w:ilvl w:val="0"/>
          <w:numId w:val="4"/>
        </w:numPr>
      </w:pPr>
      <w:r w:rsidRPr="00697358">
        <w:t xml:space="preserve">Giant computer server campuses </w:t>
      </w:r>
      <w:r w:rsidR="00BC6495">
        <w:t xml:space="preserve">(Apple, </w:t>
      </w:r>
      <w:r w:rsidRPr="00697358">
        <w:t>Amazon, Google, Yahoo, etc.) using very large amounts of HVAC</w:t>
      </w:r>
    </w:p>
    <w:p w:rsidR="00697358" w:rsidRPr="00697358" w:rsidRDefault="00697358" w:rsidP="00697358">
      <w:r w:rsidRPr="00697358">
        <w:t>To avoid complexity, the non-refrigerant emissions from aerosol propellants, foam</w:t>
      </w:r>
      <w:r w:rsidR="00BC6495">
        <w:t>s</w:t>
      </w:r>
      <w:bookmarkStart w:id="0" w:name="_GoBack"/>
      <w:bookmarkEnd w:id="0"/>
      <w:r w:rsidRPr="00697358">
        <w:t>, solvents, and fire suppressants could be generic, based on per capita</w:t>
      </w:r>
      <w:r w:rsidR="003C7483">
        <w:t xml:space="preserve"> </w:t>
      </w:r>
      <w:r w:rsidR="00BC6495">
        <w:t>factors</w:t>
      </w:r>
      <w:r w:rsidRPr="00697358">
        <w:t>.</w:t>
      </w:r>
    </w:p>
    <w:p w:rsidR="0016761D" w:rsidRPr="00697358" w:rsidRDefault="00CD49F1" w:rsidP="00697358">
      <w:r w:rsidRPr="00CD49F1">
        <w:rPr>
          <w:noProof/>
        </w:rPr>
        <w:drawing>
          <wp:inline distT="0" distB="0" distL="0" distR="0" wp14:anchorId="58BC1075" wp14:editId="4F68BB9E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61D" w:rsidRPr="0069735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3B" w:rsidRDefault="0073793B" w:rsidP="00C91968">
      <w:r>
        <w:separator/>
      </w:r>
    </w:p>
  </w:endnote>
  <w:endnote w:type="continuationSeparator" w:id="0">
    <w:p w:rsidR="0073793B" w:rsidRDefault="0073793B" w:rsidP="00C9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381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3C86" w:rsidRDefault="00063C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4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63C86" w:rsidRDefault="00063C86" w:rsidP="00063C86">
    <w:pPr>
      <w:pStyle w:val="Footer"/>
      <w:jc w:val="center"/>
    </w:pPr>
    <w:r>
      <w:t>California Air Resources Board</w:t>
    </w:r>
    <w:r>
      <w:tab/>
    </w:r>
    <w:r>
      <w:tab/>
      <w:t xml:space="preserve">May </w:t>
    </w:r>
    <w:r w:rsidR="00F72D14">
      <w:t>10</w:t>
    </w:r>
    <w: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3B" w:rsidRDefault="0073793B" w:rsidP="00C91968">
      <w:r>
        <w:separator/>
      </w:r>
    </w:p>
  </w:footnote>
  <w:footnote w:type="continuationSeparator" w:id="0">
    <w:p w:rsidR="0073793B" w:rsidRDefault="0073793B" w:rsidP="00C91968">
      <w:r>
        <w:continuationSeparator/>
      </w:r>
    </w:p>
  </w:footnote>
  <w:footnote w:id="1">
    <w:p w:rsidR="006B68BD" w:rsidRDefault="006B68BD" w:rsidP="006B68BD">
      <w:pPr>
        <w:pStyle w:val="FootnoteText"/>
        <w:spacing w:after="0"/>
      </w:pPr>
      <w:r w:rsidRPr="003C7483">
        <w:rPr>
          <w:rStyle w:val="FootnoteReference"/>
          <w:sz w:val="18"/>
        </w:rPr>
        <w:footnoteRef/>
      </w:r>
      <w:r w:rsidRPr="003C7483">
        <w:rPr>
          <w:sz w:val="18"/>
        </w:rPr>
        <w:t xml:space="preserve"> https://www.arb.ca.gov/cc/inventory/slcp/slcp.htm</w:t>
      </w:r>
    </w:p>
  </w:footnote>
  <w:footnote w:id="2">
    <w:p w:rsidR="005F3BF1" w:rsidRPr="005F3BF1" w:rsidRDefault="005F3BF1">
      <w:pPr>
        <w:pStyle w:val="FootnoteText"/>
        <w:rPr>
          <w:color w:val="auto"/>
        </w:rPr>
      </w:pPr>
      <w:r w:rsidRPr="005F3BF1">
        <w:rPr>
          <w:rStyle w:val="FootnoteReference"/>
          <w:color w:val="auto"/>
          <w:sz w:val="18"/>
        </w:rPr>
        <w:footnoteRef/>
      </w:r>
      <w:r w:rsidRPr="005F3BF1">
        <w:rPr>
          <w:color w:val="auto"/>
          <w:sz w:val="18"/>
        </w:rPr>
        <w:t xml:space="preserve"> Gallagher et al. (2014) High-Global Warming Potential F-gas Emissions in California: Comparison of Ambient-Based versus Inventory-Based Emission Estimates, and Implications of Refined Estimates.  </w:t>
      </w:r>
      <w:r w:rsidRPr="005F3BF1">
        <w:rPr>
          <w:i/>
          <w:color w:val="auto"/>
          <w:sz w:val="18"/>
        </w:rPr>
        <w:t>Environmental Science &amp; Technology</w:t>
      </w:r>
      <w:r w:rsidRPr="005F3BF1">
        <w:rPr>
          <w:color w:val="auto"/>
          <w:sz w:val="18"/>
        </w:rPr>
        <w:t xml:space="preserve">, 48 (2): 1084-1093.  Available at: </w:t>
      </w:r>
      <w:hyperlink r:id="rId1" w:history="1">
        <w:r w:rsidRPr="00EF6FFF">
          <w:rPr>
            <w:rStyle w:val="Hyperlink"/>
            <w:sz w:val="18"/>
          </w:rPr>
          <w:t>https://pubs.acs.org/doi/abs/10.1021/es403447v</w:t>
        </w:r>
      </w:hyperlink>
      <w:r w:rsidRPr="005F3BF1">
        <w:rPr>
          <w:color w:val="auto"/>
          <w:sz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C86" w:rsidRDefault="00063C86" w:rsidP="00063C86">
    <w:pPr>
      <w:pStyle w:val="Header"/>
      <w:jc w:val="center"/>
    </w:pPr>
    <w:r>
      <w:t xml:space="preserve">U.S. Climate Alliance Concept Paper – State-Specific </w:t>
    </w:r>
    <w:r w:rsidR="003B1674">
      <w:t>Actions on HFCs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78D7"/>
    <w:multiLevelType w:val="hybridMultilevel"/>
    <w:tmpl w:val="7E2AB928"/>
    <w:lvl w:ilvl="0" w:tplc="85C67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F10AE"/>
    <w:multiLevelType w:val="hybridMultilevel"/>
    <w:tmpl w:val="3DC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4B19"/>
    <w:multiLevelType w:val="hybridMultilevel"/>
    <w:tmpl w:val="8214C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00330"/>
    <w:multiLevelType w:val="hybridMultilevel"/>
    <w:tmpl w:val="FF06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8"/>
    <w:rsid w:val="00063C86"/>
    <w:rsid w:val="00064171"/>
    <w:rsid w:val="00086667"/>
    <w:rsid w:val="0016761D"/>
    <w:rsid w:val="001822AC"/>
    <w:rsid w:val="001D74BC"/>
    <w:rsid w:val="002E337A"/>
    <w:rsid w:val="00302DF6"/>
    <w:rsid w:val="00345C53"/>
    <w:rsid w:val="00384AF7"/>
    <w:rsid w:val="003B1674"/>
    <w:rsid w:val="003C7483"/>
    <w:rsid w:val="003E4F32"/>
    <w:rsid w:val="00410539"/>
    <w:rsid w:val="00492365"/>
    <w:rsid w:val="005369DC"/>
    <w:rsid w:val="00561760"/>
    <w:rsid w:val="00586F00"/>
    <w:rsid w:val="005F3BF1"/>
    <w:rsid w:val="00611D1B"/>
    <w:rsid w:val="00697358"/>
    <w:rsid w:val="006B68BD"/>
    <w:rsid w:val="0073793B"/>
    <w:rsid w:val="007466BF"/>
    <w:rsid w:val="007F540E"/>
    <w:rsid w:val="007F7625"/>
    <w:rsid w:val="00834FC2"/>
    <w:rsid w:val="008C4390"/>
    <w:rsid w:val="009076DA"/>
    <w:rsid w:val="00911923"/>
    <w:rsid w:val="00A74ABC"/>
    <w:rsid w:val="00A90CBF"/>
    <w:rsid w:val="00A92505"/>
    <w:rsid w:val="00B21B1C"/>
    <w:rsid w:val="00BC6495"/>
    <w:rsid w:val="00C91968"/>
    <w:rsid w:val="00CB0408"/>
    <w:rsid w:val="00CD49F1"/>
    <w:rsid w:val="00D66923"/>
    <w:rsid w:val="00D97F29"/>
    <w:rsid w:val="00DD1BA6"/>
    <w:rsid w:val="00E1708F"/>
    <w:rsid w:val="00EC5509"/>
    <w:rsid w:val="00F7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1FD2"/>
  <w15:chartTrackingRefBased/>
  <w15:docId w15:val="{619CAEB4-10F7-4A3B-B637-767CACE9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923"/>
    <w:pPr>
      <w:spacing w:before="0" w:beforeAutospacing="0" w:after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11923"/>
    <w:pPr>
      <w:keepNext/>
      <w:widowControl w:val="0"/>
      <w:spacing w:before="100" w:beforeAutospacing="1"/>
      <w:outlineLvl w:val="0"/>
    </w:pPr>
    <w:rPr>
      <w:b/>
      <w:i/>
      <w:snapToGrid w:val="0"/>
      <w:vanish/>
    </w:rPr>
  </w:style>
  <w:style w:type="paragraph" w:styleId="Heading2">
    <w:name w:val="heading 2"/>
    <w:basedOn w:val="Normal"/>
    <w:next w:val="Normal"/>
    <w:link w:val="Heading2Char"/>
    <w:qFormat/>
    <w:rsid w:val="003E4F32"/>
    <w:pPr>
      <w:keepNext/>
      <w:widowControl w:val="0"/>
      <w:spacing w:line="240" w:lineRule="exact"/>
      <w:outlineLvl w:val="1"/>
    </w:pPr>
    <w:rPr>
      <w:i/>
      <w:snapToGrid w:val="0"/>
      <w:vanish/>
      <w:sz w:val="18"/>
    </w:rPr>
  </w:style>
  <w:style w:type="paragraph" w:styleId="Heading3">
    <w:name w:val="heading 3"/>
    <w:basedOn w:val="Normal"/>
    <w:next w:val="Normal"/>
    <w:link w:val="Heading3Char"/>
    <w:qFormat/>
    <w:rsid w:val="003E4F32"/>
    <w:pPr>
      <w:keepNext/>
      <w:widowControl w:val="0"/>
      <w:jc w:val="center"/>
      <w:outlineLvl w:val="2"/>
    </w:pPr>
    <w:rPr>
      <w:b/>
      <w:snapToGrid w:val="0"/>
      <w:sz w:val="28"/>
    </w:rPr>
  </w:style>
  <w:style w:type="paragraph" w:styleId="Heading4">
    <w:name w:val="heading 4"/>
    <w:basedOn w:val="Normal"/>
    <w:next w:val="Normal"/>
    <w:link w:val="Heading4Char"/>
    <w:qFormat/>
    <w:rsid w:val="003E4F32"/>
    <w:pPr>
      <w:keepNext/>
      <w:widowControl w:val="0"/>
      <w:jc w:val="center"/>
      <w:outlineLvl w:val="3"/>
    </w:pPr>
    <w:rPr>
      <w:b/>
      <w:snapToGrid w:val="0"/>
    </w:rPr>
  </w:style>
  <w:style w:type="paragraph" w:styleId="Heading5">
    <w:name w:val="heading 5"/>
    <w:basedOn w:val="Normal"/>
    <w:next w:val="Normal"/>
    <w:link w:val="Heading5Char"/>
    <w:qFormat/>
    <w:rsid w:val="003E4F32"/>
    <w:pPr>
      <w:keepNext/>
      <w:tabs>
        <w:tab w:val="left" w:pos="720"/>
        <w:tab w:val="left" w:pos="1440"/>
      </w:tabs>
      <w:ind w:left="1440" w:hanging="144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3E4F32"/>
    <w:pPr>
      <w:keepNext/>
      <w:outlineLvl w:val="5"/>
    </w:pPr>
  </w:style>
  <w:style w:type="paragraph" w:styleId="Heading7">
    <w:name w:val="heading 7"/>
    <w:basedOn w:val="Normal"/>
    <w:next w:val="Normal"/>
    <w:link w:val="Heading7Char"/>
    <w:qFormat/>
    <w:rsid w:val="003E4F32"/>
    <w:pPr>
      <w:keepNext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1923"/>
    <w:rPr>
      <w:rFonts w:ascii="Arial" w:hAnsi="Arial"/>
      <w:b/>
      <w:i/>
      <w:snapToGrid w:val="0"/>
      <w:vanish/>
      <w:sz w:val="24"/>
    </w:rPr>
  </w:style>
  <w:style w:type="character" w:customStyle="1" w:styleId="Heading2Char">
    <w:name w:val="Heading 2 Char"/>
    <w:basedOn w:val="DefaultParagraphFont"/>
    <w:link w:val="Heading2"/>
    <w:rsid w:val="003E4F32"/>
    <w:rPr>
      <w:rFonts w:ascii="Arial" w:hAnsi="Arial"/>
      <w:i/>
      <w:snapToGrid w:val="0"/>
      <w:vanish/>
      <w:sz w:val="18"/>
    </w:rPr>
  </w:style>
  <w:style w:type="character" w:customStyle="1" w:styleId="Heading3Char">
    <w:name w:val="Heading 3 Char"/>
    <w:basedOn w:val="DefaultParagraphFont"/>
    <w:link w:val="Heading3"/>
    <w:rsid w:val="003E4F32"/>
    <w:rPr>
      <w:rFonts w:ascii="Arial" w:hAnsi="Arial"/>
      <w:b/>
      <w:snapToGrid w:val="0"/>
      <w:sz w:val="28"/>
    </w:rPr>
  </w:style>
  <w:style w:type="character" w:customStyle="1" w:styleId="Heading4Char">
    <w:name w:val="Heading 4 Char"/>
    <w:basedOn w:val="DefaultParagraphFont"/>
    <w:link w:val="Heading4"/>
    <w:rsid w:val="003E4F32"/>
    <w:rPr>
      <w:rFonts w:ascii="Arial" w:hAnsi="Arial"/>
      <w:b/>
      <w:snapToGrid w:val="0"/>
      <w:sz w:val="24"/>
    </w:rPr>
  </w:style>
  <w:style w:type="character" w:customStyle="1" w:styleId="Heading5Char">
    <w:name w:val="Heading 5 Char"/>
    <w:basedOn w:val="DefaultParagraphFont"/>
    <w:link w:val="Heading5"/>
    <w:rsid w:val="003E4F32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3E4F32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3E4F32"/>
    <w:rPr>
      <w:rFonts w:ascii="Arial" w:hAnsi="Arial"/>
      <w:sz w:val="24"/>
    </w:rPr>
  </w:style>
  <w:style w:type="character" w:customStyle="1" w:styleId="68">
    <w:name w:val="6/8"/>
    <w:rsid w:val="00C91968"/>
    <w:rPr>
      <w:rFonts w:ascii="Arial" w:hAnsi="Arial"/>
      <w:b/>
      <w:caps/>
      <w:color w:val="0000FF"/>
      <w:sz w:val="12"/>
      <w:u w:val="none"/>
      <w:vertAlign w:val="baseline"/>
    </w:rPr>
  </w:style>
  <w:style w:type="paragraph" w:customStyle="1" w:styleId="FillIn">
    <w:name w:val="Fill In"/>
    <w:basedOn w:val="Normal"/>
    <w:rsid w:val="00C91968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Times New Roman" w:hAnsi="Times New Roman"/>
      <w:color w:val="000000"/>
      <w:sz w:val="20"/>
    </w:rPr>
  </w:style>
  <w:style w:type="paragraph" w:styleId="FootnoteText">
    <w:name w:val="footnote text"/>
    <w:basedOn w:val="Normal"/>
    <w:link w:val="FootnoteTextChar"/>
    <w:rsid w:val="00C91968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color w:val="0000FF"/>
      <w:sz w:val="20"/>
    </w:rPr>
  </w:style>
  <w:style w:type="character" w:customStyle="1" w:styleId="FootnoteTextChar">
    <w:name w:val="Footnote Text Char"/>
    <w:basedOn w:val="DefaultParagraphFont"/>
    <w:link w:val="FootnoteText"/>
    <w:rsid w:val="00C91968"/>
    <w:rPr>
      <w:rFonts w:ascii="Arial" w:hAnsi="Arial"/>
      <w:color w:val="0000FF"/>
    </w:rPr>
  </w:style>
  <w:style w:type="character" w:styleId="FootnoteReference">
    <w:name w:val="footnote reference"/>
    <w:rsid w:val="00C91968"/>
    <w:rPr>
      <w:vertAlign w:val="superscript"/>
    </w:rPr>
  </w:style>
  <w:style w:type="character" w:styleId="Hyperlink">
    <w:name w:val="Hyperlink"/>
    <w:rsid w:val="00C919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C8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63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C86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BC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cid:image002.png@01D3D726.5D483A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s.acs.org/doi/abs/10.1021/es403447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9386-3AB2-44A7-8ECC-653848AF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CARB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Pamela@ARB</dc:creator>
  <cp:keywords/>
  <dc:description/>
  <cp:lastModifiedBy>Bart Croes</cp:lastModifiedBy>
  <cp:revision>4</cp:revision>
  <dcterms:created xsi:type="dcterms:W3CDTF">2018-05-10T14:38:00Z</dcterms:created>
  <dcterms:modified xsi:type="dcterms:W3CDTF">2018-05-10T17:42:00Z</dcterms:modified>
</cp:coreProperties>
</file>