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A8D" w:rsidRPr="009A3A8D" w:rsidRDefault="009A3A8D" w:rsidP="009A3A8D">
      <w:pPr>
        <w:pBdr>
          <w:bottom w:val="single" w:sz="6" w:space="7" w:color="EEEEEE"/>
        </w:pBdr>
        <w:spacing w:after="300"/>
        <w:outlineLvl w:val="0"/>
        <w:rPr>
          <w:rFonts w:ascii="Helvetica Neue" w:eastAsia="Times New Roman" w:hAnsi="Helvetica Neue" w:cs="Times New Roman"/>
          <w:color w:val="333333"/>
          <w:kern w:val="36"/>
          <w:sz w:val="54"/>
          <w:szCs w:val="54"/>
        </w:rPr>
      </w:pPr>
      <w:r w:rsidRPr="009A3A8D">
        <w:rPr>
          <w:rFonts w:ascii="Helvetica Neue" w:eastAsia="Times New Roman" w:hAnsi="Helvetica Neue" w:cs="Times New Roman"/>
          <w:color w:val="333333"/>
          <w:kern w:val="36"/>
          <w:sz w:val="54"/>
          <w:szCs w:val="54"/>
        </w:rPr>
        <w:t>Elements of RGGI</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Regional Greenhouse Gas Initiative (RGGI) is a cooperative effort among the states of Connecticut, Delaware, Maine, Maryland, Massachusetts, New Hampshire, New York, Rhode Island, and Vermont to cap and reduce power sector CO</w:t>
      </w:r>
      <w:r w:rsidRPr="009A3A8D">
        <w:rPr>
          <w:rFonts w:ascii="Times" w:hAnsi="Times" w:cs="Times New Roman"/>
          <w:sz w:val="16"/>
          <w:szCs w:val="16"/>
          <w:vertAlign w:val="subscript"/>
        </w:rPr>
        <w:t>2</w:t>
      </w:r>
      <w:r w:rsidRPr="009A3A8D">
        <w:rPr>
          <w:rFonts w:ascii="Times" w:hAnsi="Times" w:cs="Times New Roman"/>
          <w:sz w:val="20"/>
          <w:szCs w:val="20"/>
        </w:rPr>
        <w:t> emissions. </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RGGI is composed of individual CO</w:t>
      </w:r>
      <w:r w:rsidRPr="009A3A8D">
        <w:rPr>
          <w:rFonts w:ascii="Times" w:hAnsi="Times" w:cs="Times New Roman"/>
          <w:sz w:val="16"/>
          <w:szCs w:val="16"/>
          <w:vertAlign w:val="subscript"/>
        </w:rPr>
        <w:t>2</w:t>
      </w:r>
      <w:r w:rsidRPr="009A3A8D">
        <w:rPr>
          <w:rFonts w:ascii="Times" w:hAnsi="Times" w:cs="Times New Roman"/>
          <w:sz w:val="20"/>
          <w:szCs w:val="20"/>
        </w:rPr>
        <w:t> Budget Trading Programs in each participating state. Through independent regulations, based on the RGGI Model Rule, each state's CO</w:t>
      </w:r>
      <w:r w:rsidRPr="009A3A8D">
        <w:rPr>
          <w:rFonts w:ascii="Times" w:hAnsi="Times" w:cs="Times New Roman"/>
          <w:sz w:val="16"/>
          <w:szCs w:val="16"/>
          <w:vertAlign w:val="subscript"/>
        </w:rPr>
        <w:t>2</w:t>
      </w:r>
      <w:r w:rsidRPr="009A3A8D">
        <w:rPr>
          <w:rFonts w:ascii="Times" w:hAnsi="Times" w:cs="Times New Roman"/>
          <w:sz w:val="20"/>
          <w:szCs w:val="20"/>
        </w:rPr>
        <w:t>Budget Trading Program limits emissions of CO</w:t>
      </w:r>
      <w:r w:rsidRPr="009A3A8D">
        <w:rPr>
          <w:rFonts w:ascii="Times" w:hAnsi="Times" w:cs="Times New Roman"/>
          <w:sz w:val="16"/>
          <w:szCs w:val="16"/>
          <w:vertAlign w:val="subscript"/>
        </w:rPr>
        <w:t>2</w:t>
      </w:r>
      <w:r w:rsidRPr="009A3A8D">
        <w:rPr>
          <w:rFonts w:ascii="Times" w:hAnsi="Times" w:cs="Times New Roman"/>
          <w:sz w:val="20"/>
          <w:szCs w:val="20"/>
        </w:rPr>
        <w:t> from electric power plants, issues CO</w:t>
      </w:r>
      <w:r w:rsidRPr="009A3A8D">
        <w:rPr>
          <w:rFonts w:ascii="Times" w:hAnsi="Times" w:cs="Times New Roman"/>
          <w:sz w:val="16"/>
          <w:szCs w:val="16"/>
          <w:vertAlign w:val="subscript"/>
        </w:rPr>
        <w:t>2</w:t>
      </w:r>
      <w:r w:rsidRPr="009A3A8D">
        <w:rPr>
          <w:rFonts w:ascii="Times" w:hAnsi="Times" w:cs="Times New Roman"/>
          <w:sz w:val="20"/>
          <w:szCs w:val="20"/>
        </w:rPr>
        <w:t> allowances and establishes participation in regional CO</w:t>
      </w:r>
      <w:r w:rsidRPr="009A3A8D">
        <w:rPr>
          <w:rFonts w:ascii="Times" w:hAnsi="Times" w:cs="Times New Roman"/>
          <w:sz w:val="16"/>
          <w:szCs w:val="16"/>
          <w:vertAlign w:val="subscript"/>
        </w:rPr>
        <w:t>2</w:t>
      </w:r>
      <w:r w:rsidRPr="009A3A8D">
        <w:rPr>
          <w:rFonts w:ascii="Times" w:hAnsi="Times" w:cs="Times New Roman"/>
          <w:sz w:val="20"/>
          <w:szCs w:val="20"/>
        </w:rPr>
        <w:t> allowance auctions.</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RGGI is the first mandatory, market-based CO</w:t>
      </w:r>
      <w:r w:rsidRPr="009A3A8D">
        <w:rPr>
          <w:rFonts w:ascii="Times" w:hAnsi="Times" w:cs="Times New Roman"/>
          <w:sz w:val="16"/>
          <w:szCs w:val="16"/>
          <w:vertAlign w:val="subscript"/>
        </w:rPr>
        <w:t>2</w:t>
      </w:r>
      <w:r w:rsidRPr="009A3A8D">
        <w:rPr>
          <w:rFonts w:ascii="Times" w:hAnsi="Times" w:cs="Times New Roman"/>
          <w:sz w:val="20"/>
          <w:szCs w:val="20"/>
        </w:rPr>
        <w:t> emissions reduction program in the United States. Within the RGGI states, fossil-fuel-fired electric power generators with a capacity of 25 megawatts (MW) or greater ("regulated sources") are required to hold allowances equal to their CO</w:t>
      </w:r>
      <w:r w:rsidRPr="009A3A8D">
        <w:rPr>
          <w:rFonts w:ascii="Times" w:hAnsi="Times" w:cs="Times New Roman"/>
          <w:sz w:val="16"/>
          <w:szCs w:val="16"/>
          <w:vertAlign w:val="subscript"/>
        </w:rPr>
        <w:t>2</w:t>
      </w:r>
      <w:r w:rsidRPr="009A3A8D">
        <w:rPr>
          <w:rFonts w:ascii="Times" w:hAnsi="Times" w:cs="Times New Roman"/>
          <w:sz w:val="20"/>
          <w:szCs w:val="20"/>
        </w:rPr>
        <w:t> emissions over a three-year control period.</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A CO</w:t>
      </w:r>
      <w:r w:rsidRPr="009A3A8D">
        <w:rPr>
          <w:rFonts w:ascii="Times" w:hAnsi="Times" w:cs="Times New Roman"/>
          <w:sz w:val="16"/>
          <w:szCs w:val="16"/>
          <w:vertAlign w:val="subscript"/>
        </w:rPr>
        <w:t>2</w:t>
      </w:r>
      <w:r w:rsidRPr="009A3A8D">
        <w:rPr>
          <w:rFonts w:ascii="Times" w:hAnsi="Times" w:cs="Times New Roman"/>
          <w:sz w:val="20"/>
          <w:szCs w:val="20"/>
        </w:rPr>
        <w:t> allowance represents a limited authorization to emit one short ton of CO</w:t>
      </w:r>
      <w:r w:rsidRPr="009A3A8D">
        <w:rPr>
          <w:rFonts w:ascii="Times" w:hAnsi="Times" w:cs="Times New Roman"/>
          <w:sz w:val="16"/>
          <w:szCs w:val="16"/>
          <w:vertAlign w:val="subscript"/>
        </w:rPr>
        <w:t>2</w:t>
      </w:r>
      <w:r w:rsidRPr="009A3A8D">
        <w:rPr>
          <w:rFonts w:ascii="Times" w:hAnsi="Times" w:cs="Times New Roman"/>
          <w:sz w:val="20"/>
          <w:szCs w:val="20"/>
        </w:rPr>
        <w:t> from a regulated source, as issued by a participating state. Regulated power plants can use a CO</w:t>
      </w:r>
      <w:r w:rsidRPr="009A3A8D">
        <w:rPr>
          <w:rFonts w:ascii="Times" w:hAnsi="Times" w:cs="Times New Roman"/>
          <w:sz w:val="16"/>
          <w:szCs w:val="16"/>
          <w:vertAlign w:val="subscript"/>
        </w:rPr>
        <w:t>2</w:t>
      </w:r>
      <w:r w:rsidRPr="009A3A8D">
        <w:rPr>
          <w:rFonts w:ascii="Times" w:hAnsi="Times" w:cs="Times New Roman"/>
          <w:sz w:val="20"/>
          <w:szCs w:val="20"/>
        </w:rPr>
        <w:t> allowance issued by any participating state to demonstrate compliance in any state. They may acquire allowances by purchasing them at regional auctions, or through secondary markets.</w:t>
      </w:r>
    </w:p>
    <w:p w:rsidR="009A3A8D" w:rsidRPr="009A3A8D" w:rsidRDefault="009A3A8D" w:rsidP="009A3A8D">
      <w:pPr>
        <w:spacing w:before="300" w:after="150"/>
        <w:outlineLvl w:val="2"/>
        <w:rPr>
          <w:rFonts w:ascii="inherit" w:eastAsia="Times New Roman" w:hAnsi="inherit" w:cs="Times New Roman"/>
          <w:sz w:val="36"/>
          <w:szCs w:val="36"/>
        </w:rPr>
      </w:pPr>
      <w:r w:rsidRPr="009A3A8D">
        <w:rPr>
          <w:rFonts w:ascii="inherit" w:eastAsia="Times New Roman" w:hAnsi="inherit" w:cs="Times New Roman"/>
          <w:sz w:val="36"/>
          <w:szCs w:val="36"/>
        </w:rPr>
        <w:t>The RGGI Cap</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RGGI CO</w:t>
      </w:r>
      <w:r w:rsidRPr="009A3A8D">
        <w:rPr>
          <w:rFonts w:ascii="Times" w:hAnsi="Times" w:cs="Times New Roman"/>
          <w:sz w:val="16"/>
          <w:szCs w:val="16"/>
          <w:vertAlign w:val="subscript"/>
        </w:rPr>
        <w:t>2</w:t>
      </w:r>
      <w:r w:rsidRPr="009A3A8D">
        <w:rPr>
          <w:rFonts w:ascii="Times" w:hAnsi="Times" w:cs="Times New Roman"/>
          <w:sz w:val="20"/>
          <w:szCs w:val="20"/>
        </w:rPr>
        <w:t> cap represents a regional budget for CO</w:t>
      </w:r>
      <w:r w:rsidRPr="009A3A8D">
        <w:rPr>
          <w:rFonts w:ascii="Times" w:hAnsi="Times" w:cs="Times New Roman"/>
          <w:sz w:val="16"/>
          <w:szCs w:val="16"/>
          <w:vertAlign w:val="subscript"/>
        </w:rPr>
        <w:t>2</w:t>
      </w:r>
      <w:r w:rsidRPr="009A3A8D">
        <w:rPr>
          <w:rFonts w:ascii="Times" w:hAnsi="Times" w:cs="Times New Roman"/>
          <w:sz w:val="20"/>
          <w:szCs w:val="20"/>
        </w:rPr>
        <w:t> emissions from the power sector.</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RGGI states also include two interim adjustments to the RGGI cap to account for banked CO</w:t>
      </w:r>
      <w:r w:rsidRPr="009A3A8D">
        <w:rPr>
          <w:rFonts w:ascii="Times" w:hAnsi="Times" w:cs="Times New Roman"/>
          <w:sz w:val="16"/>
          <w:szCs w:val="16"/>
          <w:vertAlign w:val="subscript"/>
        </w:rPr>
        <w:t>2</w:t>
      </w:r>
      <w:r w:rsidRPr="009A3A8D">
        <w:rPr>
          <w:rFonts w:ascii="Times" w:hAnsi="Times" w:cs="Times New Roman"/>
          <w:sz w:val="20"/>
          <w:szCs w:val="20"/>
        </w:rPr>
        <w:t> allowances accumulated in the first and second control periods.</w:t>
      </w:r>
      <w:r>
        <w:rPr>
          <w:rFonts w:ascii="Times" w:hAnsi="Times" w:cs="Times New Roman"/>
          <w:sz w:val="20"/>
          <w:szCs w:val="20"/>
        </w:rPr>
        <w:t xml:space="preserve"> </w:t>
      </w:r>
      <w:bookmarkStart w:id="0" w:name="_GoBack"/>
      <w:bookmarkEnd w:id="0"/>
      <w:r w:rsidRPr="009A3A8D">
        <w:rPr>
          <w:rFonts w:ascii="Times" w:hAnsi="Times" w:cs="Times New Roman"/>
          <w:sz w:val="20"/>
          <w:szCs w:val="20"/>
        </w:rPr>
        <w:t>The total interim adjustment for 2014-2020 is 139.5 million CO</w:t>
      </w:r>
      <w:r w:rsidRPr="009A3A8D">
        <w:rPr>
          <w:rFonts w:ascii="Times" w:hAnsi="Times" w:cs="Times New Roman"/>
          <w:sz w:val="16"/>
          <w:szCs w:val="16"/>
          <w:vertAlign w:val="subscript"/>
        </w:rPr>
        <w:t>2</w:t>
      </w:r>
      <w:r w:rsidRPr="009A3A8D">
        <w:rPr>
          <w:rFonts w:ascii="Times" w:hAnsi="Times" w:cs="Times New Roman"/>
          <w:sz w:val="20"/>
          <w:szCs w:val="20"/>
        </w:rPr>
        <w:t> allowances. For more details on the interim adjustments, see:</w:t>
      </w:r>
    </w:p>
    <w:p w:rsidR="009A3A8D" w:rsidRPr="009A3A8D" w:rsidRDefault="009A3A8D" w:rsidP="009A3A8D">
      <w:pPr>
        <w:numPr>
          <w:ilvl w:val="0"/>
          <w:numId w:val="1"/>
        </w:numPr>
        <w:spacing w:before="100" w:beforeAutospacing="1" w:after="100" w:afterAutospacing="1"/>
        <w:rPr>
          <w:rFonts w:ascii="Times" w:eastAsia="Times New Roman" w:hAnsi="Times" w:cs="Times New Roman"/>
          <w:sz w:val="20"/>
          <w:szCs w:val="20"/>
        </w:rPr>
      </w:pPr>
      <w:hyperlink r:id="rId6" w:history="1">
        <w:r w:rsidRPr="009A3A8D">
          <w:rPr>
            <w:rFonts w:ascii="Times" w:eastAsia="Times New Roman" w:hAnsi="Times" w:cs="Times New Roman"/>
            <w:color w:val="337AB7"/>
            <w:sz w:val="20"/>
            <w:szCs w:val="20"/>
          </w:rPr>
          <w:t>Second Control Period Interim Adjustment for Banked Allowances Announcement</w:t>
        </w:r>
      </w:hyperlink>
    </w:p>
    <w:p w:rsidR="009A3A8D" w:rsidRPr="009A3A8D" w:rsidRDefault="009A3A8D" w:rsidP="009A3A8D">
      <w:pPr>
        <w:numPr>
          <w:ilvl w:val="0"/>
          <w:numId w:val="1"/>
        </w:numPr>
        <w:spacing w:before="100" w:beforeAutospacing="1" w:after="100" w:afterAutospacing="1"/>
        <w:rPr>
          <w:rFonts w:ascii="Times" w:eastAsia="Times New Roman" w:hAnsi="Times" w:cs="Times New Roman"/>
          <w:sz w:val="20"/>
          <w:szCs w:val="20"/>
        </w:rPr>
      </w:pPr>
      <w:hyperlink r:id="rId7" w:history="1">
        <w:r w:rsidRPr="009A3A8D">
          <w:rPr>
            <w:rFonts w:ascii="Times" w:eastAsia="Times New Roman" w:hAnsi="Times" w:cs="Times New Roman"/>
            <w:color w:val="337AB7"/>
            <w:sz w:val="20"/>
            <w:szCs w:val="20"/>
          </w:rPr>
          <w:t>First Control Period Interim Adjustment for Banked Allowances Announcement</w:t>
        </w:r>
      </w:hyperlink>
    </w:p>
    <w:p w:rsidR="009A3A8D" w:rsidRPr="009A3A8D" w:rsidRDefault="009A3A8D" w:rsidP="009A3A8D">
      <w:pPr>
        <w:numPr>
          <w:ilvl w:val="0"/>
          <w:numId w:val="1"/>
        </w:numPr>
        <w:spacing w:before="100" w:beforeAutospacing="1" w:after="100" w:afterAutospacing="1"/>
        <w:rPr>
          <w:rFonts w:ascii="Times" w:eastAsia="Times New Roman" w:hAnsi="Times" w:cs="Times New Roman"/>
          <w:sz w:val="20"/>
          <w:szCs w:val="20"/>
        </w:rPr>
      </w:pPr>
      <w:hyperlink r:id="rId8" w:history="1">
        <w:r w:rsidRPr="009A3A8D">
          <w:rPr>
            <w:rFonts w:ascii="Times" w:eastAsia="Times New Roman" w:hAnsi="Times" w:cs="Times New Roman"/>
            <w:color w:val="337AB7"/>
            <w:sz w:val="20"/>
            <w:szCs w:val="20"/>
          </w:rPr>
          <w:t>Summary of Proposed Changes to RGGI CO</w:t>
        </w:r>
        <w:r w:rsidRPr="009A3A8D">
          <w:rPr>
            <w:rFonts w:ascii="Times" w:eastAsia="Times New Roman" w:hAnsi="Times" w:cs="Times New Roman"/>
            <w:color w:val="337AB7"/>
            <w:sz w:val="16"/>
            <w:szCs w:val="16"/>
            <w:vertAlign w:val="subscript"/>
          </w:rPr>
          <w:t>2</w:t>
        </w:r>
        <w:r w:rsidRPr="009A3A8D">
          <w:rPr>
            <w:rFonts w:ascii="Times" w:eastAsia="Times New Roman" w:hAnsi="Times" w:cs="Times New Roman"/>
            <w:color w:val="337AB7"/>
            <w:sz w:val="20"/>
            <w:szCs w:val="20"/>
          </w:rPr>
          <w:t> Allowance Budget</w:t>
        </w:r>
      </w:hyperlink>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RGGI cap and RGGI adjusted cap for the years 2018-2020 are as follows. </w:t>
      </w:r>
    </w:p>
    <w:p w:rsidR="009A3A8D" w:rsidRPr="009A3A8D" w:rsidRDefault="009A3A8D" w:rsidP="009A3A8D">
      <w:pPr>
        <w:numPr>
          <w:ilvl w:val="0"/>
          <w:numId w:val="2"/>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2018: RGGI cap is 82,235,598, RGGI adjusted cap is 60,344,190</w:t>
      </w:r>
    </w:p>
    <w:p w:rsidR="009A3A8D" w:rsidRPr="009A3A8D" w:rsidRDefault="009A3A8D" w:rsidP="009A3A8D">
      <w:pPr>
        <w:numPr>
          <w:ilvl w:val="0"/>
          <w:numId w:val="2"/>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2019: RGGI cap is 80,179,708, RGGI adjusted cap is 58,288,301</w:t>
      </w:r>
    </w:p>
    <w:p w:rsidR="009A3A8D" w:rsidRPr="009A3A8D" w:rsidRDefault="009A3A8D" w:rsidP="009A3A8D">
      <w:pPr>
        <w:numPr>
          <w:ilvl w:val="0"/>
          <w:numId w:val="2"/>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2020: RGGI cap is 78,175,215, RGGI adjusted cap is 56,283,807</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Post-2020 cap levels have been established through program review, and are detailed in the </w:t>
      </w:r>
      <w:hyperlink r:id="rId9" w:history="1">
        <w:r w:rsidRPr="009A3A8D">
          <w:rPr>
            <w:rFonts w:ascii="Times" w:hAnsi="Times" w:cs="Times New Roman"/>
            <w:color w:val="337AB7"/>
            <w:sz w:val="20"/>
            <w:szCs w:val="20"/>
          </w:rPr>
          <w:t>Principles to Accompany Model Rule Amendments</w:t>
        </w:r>
      </w:hyperlink>
      <w:r w:rsidRPr="009A3A8D">
        <w:rPr>
          <w:rFonts w:ascii="Times" w:hAnsi="Times" w:cs="Times New Roman"/>
          <w:sz w:val="20"/>
          <w:szCs w:val="20"/>
        </w:rPr>
        <w:t>. States will next begin state-specific processes to bring changes arising from program review into effect, based on the updated </w:t>
      </w:r>
      <w:hyperlink r:id="rId10" w:history="1">
        <w:r w:rsidRPr="009A3A8D">
          <w:rPr>
            <w:rFonts w:ascii="Times" w:hAnsi="Times" w:cs="Times New Roman"/>
            <w:color w:val="337AB7"/>
            <w:sz w:val="20"/>
            <w:szCs w:val="20"/>
          </w:rPr>
          <w:t>2017 Model Rule</w:t>
        </w:r>
      </w:hyperlink>
      <w:r w:rsidRPr="009A3A8D">
        <w:rPr>
          <w:rFonts w:ascii="Times" w:hAnsi="Times" w:cs="Times New Roman"/>
          <w:sz w:val="20"/>
          <w:szCs w:val="20"/>
        </w:rPr>
        <w:t>.</w:t>
      </w:r>
    </w:p>
    <w:p w:rsidR="009A3A8D" w:rsidRPr="009A3A8D" w:rsidRDefault="009A3A8D" w:rsidP="009A3A8D">
      <w:pPr>
        <w:spacing w:before="300" w:after="150"/>
        <w:outlineLvl w:val="2"/>
        <w:rPr>
          <w:rFonts w:ascii="inherit" w:eastAsia="Times New Roman" w:hAnsi="inherit" w:cs="Times New Roman"/>
          <w:sz w:val="36"/>
          <w:szCs w:val="36"/>
        </w:rPr>
      </w:pPr>
      <w:r w:rsidRPr="009A3A8D">
        <w:rPr>
          <w:rFonts w:ascii="inherit" w:eastAsia="Times New Roman" w:hAnsi="inherit" w:cs="Times New Roman"/>
          <w:sz w:val="36"/>
          <w:szCs w:val="36"/>
        </w:rPr>
        <w:t>Historical Cap Levels</w:t>
      </w:r>
    </w:p>
    <w:p w:rsidR="009A3A8D" w:rsidRPr="009A3A8D" w:rsidRDefault="009A3A8D" w:rsidP="009A3A8D">
      <w:pPr>
        <w:numPr>
          <w:ilvl w:val="0"/>
          <w:numId w:val="3"/>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2009-2011: RGGI cap was 188 million allowances per year for the ten-state region (Connecticut, Delaware, Maine, Maryland, Massachusetts, New Hampshire, New Jersey, New York, Rhode Island, and Vermont).</w:t>
      </w:r>
    </w:p>
    <w:p w:rsidR="009A3A8D" w:rsidRPr="009A3A8D" w:rsidRDefault="009A3A8D" w:rsidP="009A3A8D">
      <w:pPr>
        <w:numPr>
          <w:ilvl w:val="0"/>
          <w:numId w:val="3"/>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2012-2013: RGGI cap was 165 million allowances per year for the nine-state region (Connecticut, Delaware, Maine, Maryland, Massachusetts, New Hampshire, New York, Rhode Island, and Vermont).</w:t>
      </w:r>
    </w:p>
    <w:p w:rsidR="009A3A8D" w:rsidRPr="009A3A8D" w:rsidRDefault="009A3A8D" w:rsidP="009A3A8D">
      <w:pPr>
        <w:numPr>
          <w:ilvl w:val="0"/>
          <w:numId w:val="3"/>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lastRenderedPageBreak/>
        <w:t>2014: RGGI cap was 91,000,000, RGGI adjusted cap was 82,792,336</w:t>
      </w:r>
    </w:p>
    <w:p w:rsidR="009A3A8D" w:rsidRPr="009A3A8D" w:rsidRDefault="009A3A8D" w:rsidP="009A3A8D">
      <w:pPr>
        <w:numPr>
          <w:ilvl w:val="0"/>
          <w:numId w:val="3"/>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2015: RGGI cap was 88,725,000, RGGI adjusted cap was 66,833,592</w:t>
      </w:r>
    </w:p>
    <w:p w:rsidR="009A3A8D" w:rsidRPr="009A3A8D" w:rsidRDefault="009A3A8D" w:rsidP="009A3A8D">
      <w:pPr>
        <w:numPr>
          <w:ilvl w:val="0"/>
          <w:numId w:val="3"/>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2016: RGGI cap was 86,506,875, RGGI adjusted cap was 64,615,467</w:t>
      </w:r>
    </w:p>
    <w:p w:rsidR="009A3A8D" w:rsidRPr="009A3A8D" w:rsidRDefault="009A3A8D" w:rsidP="009A3A8D">
      <w:pPr>
        <w:numPr>
          <w:ilvl w:val="0"/>
          <w:numId w:val="3"/>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2017: RGGI cap was 84,344,203, RGGI adjusted cap was 62,452,795</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For more details on the allocation and distribution of allowances from each control period, see the </w:t>
      </w:r>
      <w:hyperlink r:id="rId11" w:history="1">
        <w:r w:rsidRPr="009A3A8D">
          <w:rPr>
            <w:rFonts w:ascii="Times" w:hAnsi="Times" w:cs="Times New Roman"/>
            <w:color w:val="337AB7"/>
            <w:sz w:val="20"/>
            <w:szCs w:val="20"/>
          </w:rPr>
          <w:t>Allowance Distribution</w:t>
        </w:r>
      </w:hyperlink>
      <w:r w:rsidRPr="009A3A8D">
        <w:rPr>
          <w:rFonts w:ascii="Times" w:hAnsi="Times" w:cs="Times New Roman"/>
          <w:sz w:val="20"/>
          <w:szCs w:val="20"/>
        </w:rPr>
        <w:t> page.</w:t>
      </w:r>
    </w:p>
    <w:p w:rsidR="009A3A8D" w:rsidRPr="009A3A8D" w:rsidRDefault="009A3A8D" w:rsidP="009A3A8D">
      <w:pPr>
        <w:spacing w:before="300" w:after="150"/>
        <w:outlineLvl w:val="2"/>
        <w:rPr>
          <w:rFonts w:ascii="inherit" w:eastAsia="Times New Roman" w:hAnsi="inherit" w:cs="Times New Roman"/>
          <w:sz w:val="36"/>
          <w:szCs w:val="36"/>
        </w:rPr>
      </w:pPr>
      <w:r w:rsidRPr="009A3A8D">
        <w:rPr>
          <w:rFonts w:ascii="inherit" w:eastAsia="Times New Roman" w:hAnsi="inherit" w:cs="Times New Roman"/>
          <w:sz w:val="36"/>
          <w:szCs w:val="36"/>
        </w:rPr>
        <w:t>Cost Containment Reserve</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 xml:space="preserve">The RGGI states have established a Cost Containment Reserve (CCR), consisting of a quantity of allowances in addition to the </w:t>
      </w:r>
      <w:proofErr w:type="gramStart"/>
      <w:r w:rsidRPr="009A3A8D">
        <w:rPr>
          <w:rFonts w:ascii="Times" w:hAnsi="Times" w:cs="Times New Roman"/>
          <w:sz w:val="20"/>
          <w:szCs w:val="20"/>
        </w:rPr>
        <w:t>cap which are held</w:t>
      </w:r>
      <w:proofErr w:type="gramEnd"/>
      <w:r w:rsidRPr="009A3A8D">
        <w:rPr>
          <w:rFonts w:ascii="Times" w:hAnsi="Times" w:cs="Times New Roman"/>
          <w:sz w:val="20"/>
          <w:szCs w:val="20"/>
        </w:rPr>
        <w:t xml:space="preserve"> in reserve. These are only made available for sale if allowance prices exceed predefined price levels, so that the CCR will only trigger if emission reduction costs are higher than projected. The CCR is replenished at the start of each calendar year.</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CCR trigger price will increase by 2.5% per year through 2020, and its size will be 10 million allowances each year. Then, based on the </w:t>
      </w:r>
      <w:hyperlink r:id="rId12" w:history="1">
        <w:r w:rsidRPr="009A3A8D">
          <w:rPr>
            <w:rFonts w:ascii="Times" w:hAnsi="Times" w:cs="Times New Roman"/>
            <w:color w:val="337AB7"/>
            <w:sz w:val="20"/>
            <w:szCs w:val="20"/>
          </w:rPr>
          <w:t>2017 Model Rule</w:t>
        </w:r>
      </w:hyperlink>
      <w:r w:rsidRPr="009A3A8D">
        <w:rPr>
          <w:rFonts w:ascii="Times" w:hAnsi="Times" w:cs="Times New Roman"/>
          <w:sz w:val="20"/>
          <w:szCs w:val="20"/>
        </w:rPr>
        <w:t>, after 2020 the CCR size and trigger price trajectory will change. The CCR trigger price will be $13.00 in 2021 and will increase by 7% per year thereafter. The CCR's size will be 10% of the regional cap each year.</w:t>
      </w:r>
    </w:p>
    <w:p w:rsidR="009A3A8D" w:rsidRPr="009A3A8D" w:rsidRDefault="009A3A8D" w:rsidP="009A3A8D">
      <w:pPr>
        <w:spacing w:before="300" w:after="150"/>
        <w:outlineLvl w:val="2"/>
        <w:rPr>
          <w:rFonts w:ascii="inherit" w:eastAsia="Times New Roman" w:hAnsi="inherit" w:cs="Times New Roman"/>
          <w:sz w:val="36"/>
          <w:szCs w:val="36"/>
        </w:rPr>
      </w:pPr>
      <w:r w:rsidRPr="009A3A8D">
        <w:rPr>
          <w:rFonts w:ascii="inherit" w:eastAsia="Times New Roman" w:hAnsi="inherit" w:cs="Times New Roman"/>
          <w:sz w:val="36"/>
          <w:szCs w:val="36"/>
        </w:rPr>
        <w:t>Emissions Containment Reserve</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Based on the </w:t>
      </w:r>
      <w:hyperlink r:id="rId13" w:history="1">
        <w:r w:rsidRPr="009A3A8D">
          <w:rPr>
            <w:rFonts w:ascii="Times" w:hAnsi="Times" w:cs="Times New Roman"/>
            <w:color w:val="337AB7"/>
            <w:sz w:val="20"/>
            <w:szCs w:val="20"/>
          </w:rPr>
          <w:t>2017 Model Rule</w:t>
        </w:r>
      </w:hyperlink>
      <w:r w:rsidRPr="009A3A8D">
        <w:rPr>
          <w:rFonts w:ascii="Times" w:hAnsi="Times" w:cs="Times New Roman"/>
          <w:sz w:val="20"/>
          <w:szCs w:val="20"/>
        </w:rPr>
        <w:t>, the RGGI states will also introduce an Emissions Containment Reserve (ECR) beginning in 2021. States implementing the ECR will withhold allowances from circulation to secure additional emissions reductions if prices fall below established trigger prices, so that the ECR will only trigger if emission reduction costs are lower than projected.</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ECR trigger price will be $6.00 in 2021, and rise at 7% per year thereafter. Its size will be 10% of the budgets of the states implementing the ECR. (Note that at this time, Maine and New Hampshire do not intend to participate in the ECR).</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For a table of CCR and ECR sizes and trigger prices over time, see the </w:t>
      </w:r>
      <w:hyperlink r:id="rId14" w:history="1">
        <w:r w:rsidRPr="009A3A8D">
          <w:rPr>
            <w:rFonts w:ascii="Times" w:hAnsi="Times" w:cs="Times New Roman"/>
            <w:color w:val="337AB7"/>
            <w:sz w:val="20"/>
            <w:szCs w:val="20"/>
          </w:rPr>
          <w:t>Principles to Accompany Model Rule Amendments</w:t>
        </w:r>
      </w:hyperlink>
      <w:r w:rsidRPr="009A3A8D">
        <w:rPr>
          <w:rFonts w:ascii="Times" w:hAnsi="Times" w:cs="Times New Roman"/>
          <w:sz w:val="20"/>
          <w:szCs w:val="20"/>
        </w:rPr>
        <w:t>.</w:t>
      </w:r>
    </w:p>
    <w:p w:rsidR="009A3A8D" w:rsidRPr="009A3A8D" w:rsidRDefault="009A3A8D" w:rsidP="009A3A8D">
      <w:pPr>
        <w:spacing w:before="300" w:after="150"/>
        <w:outlineLvl w:val="2"/>
        <w:rPr>
          <w:rFonts w:ascii="inherit" w:eastAsia="Times New Roman" w:hAnsi="inherit" w:cs="Times New Roman"/>
          <w:sz w:val="36"/>
          <w:szCs w:val="36"/>
        </w:rPr>
      </w:pPr>
      <w:r w:rsidRPr="009A3A8D">
        <w:rPr>
          <w:rFonts w:ascii="inherit" w:eastAsia="Times New Roman" w:hAnsi="inherit" w:cs="Times New Roman"/>
          <w:sz w:val="36"/>
          <w:szCs w:val="36"/>
        </w:rPr>
        <w:t>Auctioning and Reinvestment</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Allowances are offered through quarterly, regional CO</w:t>
      </w:r>
      <w:r w:rsidRPr="009A3A8D">
        <w:rPr>
          <w:rFonts w:ascii="Times" w:hAnsi="Times" w:cs="Times New Roman"/>
          <w:sz w:val="16"/>
          <w:szCs w:val="16"/>
          <w:vertAlign w:val="subscript"/>
        </w:rPr>
        <w:t>2</w:t>
      </w:r>
      <w:r w:rsidRPr="009A3A8D">
        <w:rPr>
          <w:rFonts w:ascii="Times" w:hAnsi="Times" w:cs="Times New Roman"/>
          <w:sz w:val="20"/>
          <w:szCs w:val="20"/>
        </w:rPr>
        <w:t> allowance auctions. These auctions are sealed-bid, uniform price auctions, which are open to all qualified participants. They result in a single quarterly clearing price.</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States are able to reinvest the proceeds from these CO</w:t>
      </w:r>
      <w:r w:rsidRPr="009A3A8D">
        <w:rPr>
          <w:rFonts w:ascii="Times" w:hAnsi="Times" w:cs="Times New Roman"/>
          <w:sz w:val="16"/>
          <w:szCs w:val="16"/>
          <w:vertAlign w:val="subscript"/>
        </w:rPr>
        <w:t>2</w:t>
      </w:r>
      <w:r w:rsidRPr="009A3A8D">
        <w:rPr>
          <w:rFonts w:ascii="Times" w:hAnsi="Times" w:cs="Times New Roman"/>
          <w:sz w:val="20"/>
          <w:szCs w:val="20"/>
        </w:rPr>
        <w:t> allowance auctions in consumer benefit programs to improve energy efficiency and accelerate the deployment of renewable energy technologies. See the </w:t>
      </w:r>
      <w:hyperlink r:id="rId15" w:history="1">
        <w:r w:rsidRPr="009A3A8D">
          <w:rPr>
            <w:rFonts w:ascii="Times" w:hAnsi="Times" w:cs="Times New Roman"/>
            <w:color w:val="337AB7"/>
            <w:sz w:val="20"/>
            <w:szCs w:val="20"/>
          </w:rPr>
          <w:t>Auction Results</w:t>
        </w:r>
      </w:hyperlink>
      <w:proofErr w:type="gramStart"/>
      <w:r w:rsidRPr="009A3A8D">
        <w:rPr>
          <w:rFonts w:ascii="Times" w:hAnsi="Times" w:cs="Times New Roman"/>
          <w:sz w:val="20"/>
          <w:szCs w:val="20"/>
        </w:rPr>
        <w:t>  page</w:t>
      </w:r>
      <w:proofErr w:type="gramEnd"/>
      <w:r w:rsidRPr="009A3A8D">
        <w:rPr>
          <w:rFonts w:ascii="Times" w:hAnsi="Times" w:cs="Times New Roman"/>
          <w:sz w:val="20"/>
          <w:szCs w:val="20"/>
        </w:rPr>
        <w:t xml:space="preserve"> for an overview of the proceeds generated by each auction, and the </w:t>
      </w:r>
      <w:hyperlink r:id="rId16" w:history="1">
        <w:r w:rsidRPr="009A3A8D">
          <w:rPr>
            <w:rFonts w:ascii="Times" w:hAnsi="Times" w:cs="Times New Roman"/>
            <w:color w:val="337AB7"/>
            <w:sz w:val="20"/>
            <w:szCs w:val="20"/>
          </w:rPr>
          <w:t>Reinvestment</w:t>
        </w:r>
      </w:hyperlink>
      <w:r w:rsidRPr="009A3A8D">
        <w:rPr>
          <w:rFonts w:ascii="Times" w:hAnsi="Times" w:cs="Times New Roman"/>
          <w:sz w:val="20"/>
          <w:szCs w:val="20"/>
        </w:rPr>
        <w:t> page for more detail on how states have reinvested the auction proceeds to benefit consumers and further reduce pollution.</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In addition to purchasing allowances at auction, entities are also able to trade allowances on secondary markets, via over-the-counter trades as well as exchanges such as ICE.</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Potomac Economics provides independent expert monitoring of the competitive performance and efficiency of the RGGI allowance market. This includes:</w:t>
      </w:r>
    </w:p>
    <w:p w:rsidR="009A3A8D" w:rsidRPr="009A3A8D" w:rsidRDefault="009A3A8D" w:rsidP="009A3A8D">
      <w:pPr>
        <w:numPr>
          <w:ilvl w:val="0"/>
          <w:numId w:val="4"/>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Identifying attempts to exercise market power, collude, or otherwise manipulate prices in the auction and/or the secondary market;</w:t>
      </w:r>
    </w:p>
    <w:p w:rsidR="009A3A8D" w:rsidRPr="009A3A8D" w:rsidRDefault="009A3A8D" w:rsidP="009A3A8D">
      <w:pPr>
        <w:numPr>
          <w:ilvl w:val="0"/>
          <w:numId w:val="4"/>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Making recommendations regarding proposed market rule changes to improve the efficiency of the market for RGGI Allowances;</w:t>
      </w:r>
    </w:p>
    <w:p w:rsidR="009A3A8D" w:rsidRPr="009A3A8D" w:rsidRDefault="009A3A8D" w:rsidP="009A3A8D">
      <w:pPr>
        <w:numPr>
          <w:ilvl w:val="0"/>
          <w:numId w:val="4"/>
        </w:numPr>
        <w:spacing w:before="100" w:beforeAutospacing="1" w:after="100" w:afterAutospacing="1"/>
        <w:rPr>
          <w:rFonts w:ascii="Times" w:eastAsia="Times New Roman" w:hAnsi="Times" w:cs="Times New Roman"/>
          <w:sz w:val="20"/>
          <w:szCs w:val="20"/>
        </w:rPr>
      </w:pPr>
      <w:r w:rsidRPr="009A3A8D">
        <w:rPr>
          <w:rFonts w:ascii="Times" w:eastAsia="Times New Roman" w:hAnsi="Times" w:cs="Times New Roman"/>
          <w:sz w:val="20"/>
          <w:szCs w:val="20"/>
        </w:rPr>
        <w:t>Assessing whether the auctions are administered in accordance with the noticed auction rules and procedures.</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market monitor's regular reports are available on the </w:t>
      </w:r>
      <w:hyperlink r:id="rId17" w:history="1">
        <w:r w:rsidRPr="009A3A8D">
          <w:rPr>
            <w:rFonts w:ascii="Times" w:hAnsi="Times" w:cs="Times New Roman"/>
            <w:color w:val="337AB7"/>
            <w:sz w:val="20"/>
            <w:szCs w:val="20"/>
          </w:rPr>
          <w:t>Market Monitor</w:t>
        </w:r>
      </w:hyperlink>
      <w:r w:rsidRPr="009A3A8D">
        <w:rPr>
          <w:rFonts w:ascii="Times" w:hAnsi="Times" w:cs="Times New Roman"/>
          <w:sz w:val="20"/>
          <w:szCs w:val="20"/>
        </w:rPr>
        <w:t> page.</w:t>
      </w:r>
    </w:p>
    <w:p w:rsidR="009A3A8D" w:rsidRPr="009A3A8D" w:rsidRDefault="009A3A8D" w:rsidP="009A3A8D">
      <w:pPr>
        <w:spacing w:before="300" w:after="150"/>
        <w:outlineLvl w:val="2"/>
        <w:rPr>
          <w:rFonts w:ascii="inherit" w:eastAsia="Times New Roman" w:hAnsi="inherit" w:cs="Times New Roman"/>
          <w:sz w:val="36"/>
          <w:szCs w:val="36"/>
        </w:rPr>
      </w:pPr>
      <w:r w:rsidRPr="009A3A8D">
        <w:rPr>
          <w:rFonts w:ascii="inherit" w:eastAsia="Times New Roman" w:hAnsi="inherit" w:cs="Times New Roman"/>
          <w:sz w:val="36"/>
          <w:szCs w:val="36"/>
        </w:rPr>
        <w:t>Tracking and Compliance</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RGGI CO</w:t>
      </w:r>
      <w:r w:rsidRPr="009A3A8D">
        <w:rPr>
          <w:rFonts w:ascii="Times" w:hAnsi="Times" w:cs="Times New Roman"/>
          <w:sz w:val="16"/>
          <w:szCs w:val="16"/>
          <w:vertAlign w:val="subscript"/>
        </w:rPr>
        <w:t>2</w:t>
      </w:r>
      <w:r w:rsidRPr="009A3A8D">
        <w:rPr>
          <w:rFonts w:ascii="Times" w:hAnsi="Times" w:cs="Times New Roman"/>
          <w:sz w:val="20"/>
          <w:szCs w:val="20"/>
        </w:rPr>
        <w:t> budget sources are required to possess CO</w:t>
      </w:r>
      <w:r w:rsidRPr="009A3A8D">
        <w:rPr>
          <w:rFonts w:ascii="Times" w:hAnsi="Times" w:cs="Times New Roman"/>
          <w:sz w:val="16"/>
          <w:szCs w:val="16"/>
          <w:vertAlign w:val="subscript"/>
        </w:rPr>
        <w:t>2</w:t>
      </w:r>
      <w:r w:rsidRPr="009A3A8D">
        <w:rPr>
          <w:rFonts w:ascii="Times" w:hAnsi="Times" w:cs="Times New Roman"/>
          <w:sz w:val="20"/>
          <w:szCs w:val="20"/>
        </w:rPr>
        <w:t> allowances equal to their CO</w:t>
      </w:r>
      <w:r w:rsidRPr="009A3A8D">
        <w:rPr>
          <w:rFonts w:ascii="Times" w:hAnsi="Times" w:cs="Times New Roman"/>
          <w:sz w:val="16"/>
          <w:szCs w:val="16"/>
          <w:vertAlign w:val="subscript"/>
        </w:rPr>
        <w:t>2</w:t>
      </w:r>
      <w:r w:rsidRPr="009A3A8D">
        <w:rPr>
          <w:rFonts w:ascii="Times" w:hAnsi="Times" w:cs="Times New Roman"/>
          <w:sz w:val="20"/>
          <w:szCs w:val="20"/>
        </w:rPr>
        <w:t> emissions over a three-year control period. Sources must also hold allowances equal to 50 percent of their emissions during each interim control period (the first two calendar years of each three-year control period). For more materials on compliance and interim compliance, see the </w:t>
      </w:r>
      <w:hyperlink r:id="rId18" w:history="1">
        <w:r w:rsidRPr="009A3A8D">
          <w:rPr>
            <w:rFonts w:ascii="Times" w:hAnsi="Times" w:cs="Times New Roman"/>
            <w:color w:val="337AB7"/>
            <w:sz w:val="20"/>
            <w:szCs w:val="20"/>
          </w:rPr>
          <w:t>Compliance</w:t>
        </w:r>
      </w:hyperlink>
      <w:r w:rsidRPr="009A3A8D">
        <w:rPr>
          <w:rFonts w:ascii="Times" w:hAnsi="Times" w:cs="Times New Roman"/>
          <w:sz w:val="20"/>
          <w:szCs w:val="20"/>
        </w:rPr>
        <w:t> page.</w:t>
      </w:r>
    </w:p>
    <w:p w:rsidR="009A3A8D" w:rsidRPr="009A3A8D" w:rsidRDefault="009A3A8D" w:rsidP="009A3A8D">
      <w:pPr>
        <w:spacing w:after="150"/>
        <w:rPr>
          <w:rFonts w:ascii="Times" w:hAnsi="Times" w:cs="Times New Roman"/>
          <w:sz w:val="20"/>
          <w:szCs w:val="20"/>
        </w:rPr>
      </w:pPr>
      <w:r w:rsidRPr="009A3A8D">
        <w:rPr>
          <w:rFonts w:ascii="Times" w:hAnsi="Times" w:cs="Times New Roman"/>
          <w:sz w:val="20"/>
          <w:szCs w:val="20"/>
        </w:rPr>
        <w:t>The RGGI COATS emissions and allowance tracking system enables the tracking of RGGI market and program data, including CO</w:t>
      </w:r>
      <w:r w:rsidRPr="009A3A8D">
        <w:rPr>
          <w:rFonts w:ascii="Times" w:hAnsi="Times" w:cs="Times New Roman"/>
          <w:sz w:val="16"/>
          <w:szCs w:val="16"/>
          <w:vertAlign w:val="subscript"/>
        </w:rPr>
        <w:t>2</w:t>
      </w:r>
      <w:r w:rsidRPr="009A3A8D">
        <w:rPr>
          <w:rFonts w:ascii="Times" w:hAnsi="Times" w:cs="Times New Roman"/>
          <w:sz w:val="20"/>
          <w:szCs w:val="20"/>
        </w:rPr>
        <w:t> emissions from regulated power plants and CO</w:t>
      </w:r>
      <w:r w:rsidRPr="009A3A8D">
        <w:rPr>
          <w:rFonts w:ascii="Times" w:hAnsi="Times" w:cs="Times New Roman"/>
          <w:sz w:val="16"/>
          <w:szCs w:val="16"/>
          <w:vertAlign w:val="subscript"/>
        </w:rPr>
        <w:t>2</w:t>
      </w:r>
      <w:r w:rsidRPr="009A3A8D">
        <w:rPr>
          <w:rFonts w:ascii="Times" w:hAnsi="Times" w:cs="Times New Roman"/>
          <w:sz w:val="20"/>
          <w:szCs w:val="20"/>
        </w:rPr>
        <w:t> allowance transactions among market participants. For more on how emissions and allowances are tracked in COATS, see the </w:t>
      </w:r>
      <w:hyperlink r:id="rId19" w:history="1">
        <w:r w:rsidRPr="009A3A8D">
          <w:rPr>
            <w:rFonts w:ascii="Times" w:hAnsi="Times" w:cs="Times New Roman"/>
            <w:color w:val="337AB7"/>
            <w:sz w:val="20"/>
            <w:szCs w:val="20"/>
          </w:rPr>
          <w:t>COATS</w:t>
        </w:r>
      </w:hyperlink>
      <w:r w:rsidRPr="009A3A8D">
        <w:rPr>
          <w:rFonts w:ascii="Times" w:hAnsi="Times" w:cs="Times New Roman"/>
          <w:sz w:val="20"/>
          <w:szCs w:val="20"/>
        </w:rPr>
        <w:t> overview page and the </w:t>
      </w:r>
      <w:hyperlink r:id="rId20" w:history="1">
        <w:r w:rsidRPr="009A3A8D">
          <w:rPr>
            <w:rFonts w:ascii="Times" w:hAnsi="Times" w:cs="Times New Roman"/>
            <w:color w:val="337AB7"/>
            <w:sz w:val="20"/>
            <w:szCs w:val="20"/>
          </w:rPr>
          <w:t>Emissions</w:t>
        </w:r>
      </w:hyperlink>
      <w:r w:rsidRPr="009A3A8D">
        <w:rPr>
          <w:rFonts w:ascii="Times" w:hAnsi="Times" w:cs="Times New Roman"/>
          <w:sz w:val="20"/>
          <w:szCs w:val="20"/>
        </w:rPr>
        <w:t> page.</w:t>
      </w:r>
    </w:p>
    <w:p w:rsidR="009A3A8D" w:rsidRPr="009A3A8D" w:rsidRDefault="009A3A8D" w:rsidP="009A3A8D">
      <w:pPr>
        <w:rPr>
          <w:rFonts w:ascii="Times" w:hAnsi="Times" w:cs="Times New Roman"/>
          <w:sz w:val="20"/>
          <w:szCs w:val="20"/>
        </w:rPr>
      </w:pPr>
      <w:r w:rsidRPr="009A3A8D">
        <w:rPr>
          <w:rFonts w:ascii="Times" w:hAnsi="Times" w:cs="Times New Roman"/>
          <w:sz w:val="20"/>
          <w:szCs w:val="20"/>
        </w:rPr>
        <w:t>Offset allowances, generated by greenhouse gas emissions reduction or carbon sequestration projects outside the electricity sector, can help companies meet up to 3.3% of their compliance obligations. For more details on offsets, see the </w:t>
      </w:r>
      <w:hyperlink r:id="rId21" w:history="1">
        <w:r w:rsidRPr="009A3A8D">
          <w:rPr>
            <w:rFonts w:ascii="Times" w:hAnsi="Times" w:cs="Times New Roman"/>
            <w:color w:val="337AB7"/>
            <w:sz w:val="20"/>
            <w:szCs w:val="20"/>
          </w:rPr>
          <w:t>Offsets</w:t>
        </w:r>
      </w:hyperlink>
      <w:r w:rsidRPr="009A3A8D">
        <w:rPr>
          <w:rFonts w:ascii="Times" w:hAnsi="Times" w:cs="Times New Roman"/>
          <w:sz w:val="20"/>
          <w:szCs w:val="20"/>
        </w:rPr>
        <w:t> pages.</w:t>
      </w:r>
    </w:p>
    <w:p w:rsidR="004F4DBA" w:rsidRDefault="004F4DBA"/>
    <w:sectPr w:rsidR="004F4DBA" w:rsidSect="004F4D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73069"/>
    <w:multiLevelType w:val="multilevel"/>
    <w:tmpl w:val="F45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F2481"/>
    <w:multiLevelType w:val="multilevel"/>
    <w:tmpl w:val="61A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5E0C2D"/>
    <w:multiLevelType w:val="multilevel"/>
    <w:tmpl w:val="8BE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791528"/>
    <w:multiLevelType w:val="multilevel"/>
    <w:tmpl w:val="8C1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A8D"/>
    <w:rsid w:val="004F4DBA"/>
    <w:rsid w:val="009A3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1A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A8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9A3A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8D"/>
    <w:rPr>
      <w:rFonts w:ascii="Times" w:hAnsi="Times"/>
      <w:b/>
      <w:bCs/>
      <w:kern w:val="36"/>
      <w:sz w:val="48"/>
      <w:szCs w:val="48"/>
    </w:rPr>
  </w:style>
  <w:style w:type="character" w:customStyle="1" w:styleId="Heading3Char">
    <w:name w:val="Heading 3 Char"/>
    <w:basedOn w:val="DefaultParagraphFont"/>
    <w:link w:val="Heading3"/>
    <w:uiPriority w:val="9"/>
    <w:rsid w:val="009A3A8D"/>
    <w:rPr>
      <w:rFonts w:ascii="Times" w:hAnsi="Times"/>
      <w:b/>
      <w:bCs/>
      <w:sz w:val="27"/>
      <w:szCs w:val="27"/>
    </w:rPr>
  </w:style>
  <w:style w:type="paragraph" w:styleId="NormalWeb">
    <w:name w:val="Normal (Web)"/>
    <w:basedOn w:val="Normal"/>
    <w:uiPriority w:val="99"/>
    <w:semiHidden/>
    <w:unhideWhenUsed/>
    <w:rsid w:val="009A3A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A3A8D"/>
    <w:rPr>
      <w:color w:val="0000FF"/>
      <w:u w:val="single"/>
    </w:rPr>
  </w:style>
  <w:style w:type="character" w:customStyle="1" w:styleId="apple-converted-space">
    <w:name w:val="apple-converted-space"/>
    <w:basedOn w:val="DefaultParagraphFont"/>
    <w:rsid w:val="009A3A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A8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9A3A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8D"/>
    <w:rPr>
      <w:rFonts w:ascii="Times" w:hAnsi="Times"/>
      <w:b/>
      <w:bCs/>
      <w:kern w:val="36"/>
      <w:sz w:val="48"/>
      <w:szCs w:val="48"/>
    </w:rPr>
  </w:style>
  <w:style w:type="character" w:customStyle="1" w:styleId="Heading3Char">
    <w:name w:val="Heading 3 Char"/>
    <w:basedOn w:val="DefaultParagraphFont"/>
    <w:link w:val="Heading3"/>
    <w:uiPriority w:val="9"/>
    <w:rsid w:val="009A3A8D"/>
    <w:rPr>
      <w:rFonts w:ascii="Times" w:hAnsi="Times"/>
      <w:b/>
      <w:bCs/>
      <w:sz w:val="27"/>
      <w:szCs w:val="27"/>
    </w:rPr>
  </w:style>
  <w:style w:type="paragraph" w:styleId="NormalWeb">
    <w:name w:val="Normal (Web)"/>
    <w:basedOn w:val="Normal"/>
    <w:uiPriority w:val="99"/>
    <w:semiHidden/>
    <w:unhideWhenUsed/>
    <w:rsid w:val="009A3A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A3A8D"/>
    <w:rPr>
      <w:color w:val="0000FF"/>
      <w:u w:val="single"/>
    </w:rPr>
  </w:style>
  <w:style w:type="character" w:customStyle="1" w:styleId="apple-converted-space">
    <w:name w:val="apple-converted-space"/>
    <w:basedOn w:val="DefaultParagraphFont"/>
    <w:rsid w:val="009A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13082">
      <w:bodyDiv w:val="1"/>
      <w:marLeft w:val="0"/>
      <w:marRight w:val="0"/>
      <w:marTop w:val="0"/>
      <w:marBottom w:val="0"/>
      <w:divBdr>
        <w:top w:val="none" w:sz="0" w:space="0" w:color="auto"/>
        <w:left w:val="none" w:sz="0" w:space="0" w:color="auto"/>
        <w:bottom w:val="none" w:sz="0" w:space="0" w:color="auto"/>
        <w:right w:val="none" w:sz="0" w:space="0" w:color="auto"/>
      </w:divBdr>
      <w:divsChild>
        <w:div w:id="2083401993">
          <w:marLeft w:val="0"/>
          <w:marRight w:val="0"/>
          <w:marTop w:val="0"/>
          <w:marBottom w:val="0"/>
          <w:divBdr>
            <w:top w:val="none" w:sz="0" w:space="0" w:color="auto"/>
            <w:left w:val="none" w:sz="0" w:space="0" w:color="auto"/>
            <w:bottom w:val="none" w:sz="0" w:space="0" w:color="auto"/>
            <w:right w:val="none" w:sz="0" w:space="0" w:color="auto"/>
          </w:divBdr>
          <w:divsChild>
            <w:div w:id="5691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ggi.org/sites/default/files/Uploads/Program-Review/12-19-2017/Principles_Accompanying_Model_Rule.pdf" TargetMode="External"/><Relationship Id="rId20" Type="http://schemas.openxmlformats.org/officeDocument/2006/relationships/hyperlink" Target="https://www.rggi.org/allowance-tracking/emissions" TargetMode="External"/><Relationship Id="rId21" Type="http://schemas.openxmlformats.org/officeDocument/2006/relationships/hyperlink" Target="https://www.rggi.org/allowance-tracking/offset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rggi.org/sites/default/files/Uploads/Program-Review/12-19-2017/Model_Rule_2017_12_19.pdf" TargetMode="External"/><Relationship Id="rId11" Type="http://schemas.openxmlformats.org/officeDocument/2006/relationships/hyperlink" Target="https://www.rggi.org/allowance-tracking/allowance-distribution" TargetMode="External"/><Relationship Id="rId12" Type="http://schemas.openxmlformats.org/officeDocument/2006/relationships/hyperlink" Target="https://www.rggi.org/sites/default/files/Uploads/Program-Review/12-19-2017/Model_Rule_2017_12_19.pdf" TargetMode="External"/><Relationship Id="rId13" Type="http://schemas.openxmlformats.org/officeDocument/2006/relationships/hyperlink" Target="https://www.rggi.org/sites/default/files/Uploads/Program-Review/12-19-2017/Model_Rule_2017_12_19.pdf" TargetMode="External"/><Relationship Id="rId14" Type="http://schemas.openxmlformats.org/officeDocument/2006/relationships/hyperlink" Target="https://www.rggi.org/sites/default/files/Uploads/Program-Review/12-19-2017/Principles_Accompanying_Model_Rule.pdf" TargetMode="External"/><Relationship Id="rId15" Type="http://schemas.openxmlformats.org/officeDocument/2006/relationships/hyperlink" Target="https://www.rggi.org/auctions/auction-results" TargetMode="External"/><Relationship Id="rId16" Type="http://schemas.openxmlformats.org/officeDocument/2006/relationships/hyperlink" Target="https://www.rggi.org/investments/proceeds-investments" TargetMode="External"/><Relationship Id="rId17" Type="http://schemas.openxmlformats.org/officeDocument/2006/relationships/hyperlink" Target="https://www.rggi.org/auctions/market-monitor-reports" TargetMode="External"/><Relationship Id="rId18" Type="http://schemas.openxmlformats.org/officeDocument/2006/relationships/hyperlink" Target="https://www.rggi.org/allowance-tracking/compliance" TargetMode="External"/><Relationship Id="rId19" Type="http://schemas.openxmlformats.org/officeDocument/2006/relationships/hyperlink" Target="https://www.rggi.org/allowance-tracking/rggi-coa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ggi.org/sites/default/files/Uploads/Design-Archive/2012-Review/Adjustments/2014_03_17_SCP_Adjustment.pdf" TargetMode="External"/><Relationship Id="rId7" Type="http://schemas.openxmlformats.org/officeDocument/2006/relationships/hyperlink" Target="https://www.rggi.org/sites/default/files/Uploads/Design-Archive/2012-Review/Adjustments/2014_03_17_SCP_Adjustment.pdf" TargetMode="External"/><Relationship Id="rId8" Type="http://schemas.openxmlformats.org/officeDocument/2006/relationships/hyperlink" Target="https://www.rggi.org/sites/default/files/Uploads/Design-Archive/2012-Review/2013-later-materials/Program_Review_%20Summary_of_Proposed_RGGI_Cap_Changes_13_11_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1318</Words>
  <Characters>7514</Characters>
  <Application>Microsoft Macintosh Word</Application>
  <DocSecurity>0</DocSecurity>
  <Lines>62</Lines>
  <Paragraphs>17</Paragraphs>
  <ScaleCrop>false</ScaleCrop>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dc:creator>
  <cp:keywords/>
  <dc:description/>
  <cp:lastModifiedBy>Cary</cp:lastModifiedBy>
  <cp:revision>1</cp:revision>
  <dcterms:created xsi:type="dcterms:W3CDTF">2018-06-26T19:03:00Z</dcterms:created>
  <dcterms:modified xsi:type="dcterms:W3CDTF">2018-06-26T19:12:00Z</dcterms:modified>
</cp:coreProperties>
</file>