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9AE3D" w14:textId="2A8EC34D" w:rsidR="00340592" w:rsidRDefault="00340592" w:rsidP="00340592">
      <w:pPr>
        <w:spacing w:after="0" w:line="240" w:lineRule="auto"/>
        <w:jc w:val="center"/>
        <w:rPr>
          <w:rFonts w:cs="Arial"/>
          <w:b/>
          <w:lang w:val="es-ES"/>
        </w:rPr>
      </w:pPr>
      <w:r w:rsidRPr="00340592">
        <w:rPr>
          <w:rFonts w:cs="Arial"/>
          <w:b/>
          <w:lang w:val="es-ES"/>
        </w:rPr>
        <w:t xml:space="preserve">CARRERA DE </w:t>
      </w:r>
      <w:proofErr w:type="spellStart"/>
      <w:r w:rsidR="002826F0">
        <w:rPr>
          <w:rFonts w:cs="Arial"/>
          <w:b/>
          <w:lang w:val="es-ES"/>
        </w:rPr>
        <w:t>xxxxxx</w:t>
      </w:r>
      <w:proofErr w:type="spellEnd"/>
      <w:r w:rsidR="004839C8">
        <w:rPr>
          <w:rFonts w:cs="Arial"/>
          <w:b/>
          <w:lang w:val="es-ES"/>
        </w:rPr>
        <w:t xml:space="preserve"> </w:t>
      </w:r>
    </w:p>
    <w:p w14:paraId="110333D2" w14:textId="281E08E8" w:rsidR="002826F0" w:rsidRPr="00340592" w:rsidRDefault="002826F0" w:rsidP="00340592">
      <w:pPr>
        <w:spacing w:after="0" w:line="240" w:lineRule="auto"/>
        <w:jc w:val="center"/>
        <w:rPr>
          <w:rFonts w:cs="Arial"/>
          <w:b/>
          <w:lang w:val="es-ES"/>
        </w:rPr>
      </w:pPr>
      <w:r>
        <w:rPr>
          <w:rFonts w:cs="Arial"/>
          <w:b/>
          <w:lang w:val="es-ES"/>
        </w:rPr>
        <w:t>Modalidad de estudios En Línea</w:t>
      </w:r>
    </w:p>
    <w:p w14:paraId="13DE428A" w14:textId="77777777" w:rsidR="00340592" w:rsidRPr="00340592" w:rsidRDefault="00340592" w:rsidP="00340592">
      <w:pPr>
        <w:spacing w:after="0" w:line="240" w:lineRule="auto"/>
        <w:jc w:val="center"/>
        <w:rPr>
          <w:rFonts w:cs="Arial"/>
          <w:b/>
          <w:lang w:val="es-ES"/>
        </w:rPr>
      </w:pPr>
    </w:p>
    <w:p w14:paraId="590B9FA9" w14:textId="57F09CD1" w:rsidR="00340592" w:rsidRPr="00340592" w:rsidRDefault="00340592" w:rsidP="002826F0">
      <w:pPr>
        <w:spacing w:after="0" w:line="240" w:lineRule="auto"/>
        <w:jc w:val="center"/>
        <w:rPr>
          <w:rFonts w:cs="Arial"/>
          <w:bCs/>
          <w:szCs w:val="24"/>
          <w:lang w:val="es-EC"/>
        </w:rPr>
      </w:pPr>
      <w:r w:rsidRPr="00340592">
        <w:rPr>
          <w:rFonts w:cs="Arial"/>
          <w:b/>
          <w:lang w:val="es-ES"/>
        </w:rPr>
        <w:t xml:space="preserve">Unidad de Organización Curricular: </w:t>
      </w:r>
      <w:r w:rsidR="002826F0">
        <w:rPr>
          <w:rFonts w:cs="Arial"/>
          <w:bCs/>
          <w:lang w:val="es-ES"/>
        </w:rPr>
        <w:t>Básica</w:t>
      </w:r>
    </w:p>
    <w:p w14:paraId="7B28D87E" w14:textId="77777777" w:rsidR="00F64869" w:rsidRPr="002826F0" w:rsidRDefault="00F64869" w:rsidP="00F64869">
      <w:pPr>
        <w:spacing w:after="0" w:line="240" w:lineRule="auto"/>
        <w:jc w:val="center"/>
        <w:rPr>
          <w:rFonts w:cs="Arial"/>
          <w:b/>
          <w:szCs w:val="24"/>
          <w:lang w:val="es-EC"/>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F64869" w:rsidRPr="00C11925" w14:paraId="32CDC81E" w14:textId="77777777" w:rsidTr="00340592">
        <w:trPr>
          <w:trHeight w:val="404"/>
          <w:jc w:val="center"/>
        </w:trPr>
        <w:tc>
          <w:tcPr>
            <w:tcW w:w="9782" w:type="dxa"/>
            <w:gridSpan w:val="3"/>
            <w:shd w:val="clear" w:color="auto" w:fill="E2EFD9"/>
            <w:vAlign w:val="center"/>
          </w:tcPr>
          <w:p w14:paraId="690653E8" w14:textId="77777777" w:rsidR="00F64869" w:rsidRPr="00C44AC0" w:rsidRDefault="00F64869" w:rsidP="00AD688C">
            <w:pPr>
              <w:spacing w:after="0" w:line="240" w:lineRule="auto"/>
              <w:ind w:left="108"/>
              <w:jc w:val="center"/>
              <w:rPr>
                <w:rFonts w:cs="Arial"/>
                <w:b/>
                <w:sz w:val="20"/>
                <w:szCs w:val="20"/>
                <w:lang w:val="es-EC"/>
              </w:rPr>
            </w:pPr>
            <w:r w:rsidRPr="00C44AC0">
              <w:rPr>
                <w:rFonts w:cs="Arial"/>
                <w:b/>
                <w:sz w:val="20"/>
                <w:szCs w:val="20"/>
                <w:lang w:val="es-EC"/>
              </w:rPr>
              <w:t>INFORME DE PRÁCTICAS DEL COMPONENTE PRÁCTICO-EXPERIMENTAL</w:t>
            </w:r>
          </w:p>
        </w:tc>
      </w:tr>
      <w:tr w:rsidR="00F64869" w:rsidRPr="00C44AC0" w14:paraId="0C0DC0D8" w14:textId="77777777" w:rsidTr="00340592">
        <w:trPr>
          <w:trHeight w:val="404"/>
          <w:jc w:val="center"/>
        </w:trPr>
        <w:tc>
          <w:tcPr>
            <w:tcW w:w="9782" w:type="dxa"/>
            <w:gridSpan w:val="3"/>
            <w:shd w:val="clear" w:color="auto" w:fill="auto"/>
            <w:vAlign w:val="center"/>
          </w:tcPr>
          <w:p w14:paraId="1B8302C3" w14:textId="032C6648" w:rsidR="006C5923" w:rsidRPr="006C5923" w:rsidRDefault="00F64869" w:rsidP="00393830">
            <w:pPr>
              <w:spacing w:after="0" w:line="360" w:lineRule="auto"/>
              <w:rPr>
                <w:rFonts w:cs="Arial"/>
                <w:bCs/>
                <w:color w:val="BFBFBF" w:themeColor="background1" w:themeShade="BF"/>
                <w:sz w:val="20"/>
                <w:szCs w:val="20"/>
              </w:rPr>
            </w:pPr>
            <w:proofErr w:type="spellStart"/>
            <w:r w:rsidRPr="00C44AC0">
              <w:rPr>
                <w:rFonts w:cs="Arial"/>
                <w:b/>
                <w:sz w:val="20"/>
                <w:szCs w:val="20"/>
              </w:rPr>
              <w:t>Nombre</w:t>
            </w:r>
            <w:proofErr w:type="spellEnd"/>
            <w:r w:rsidRPr="00C44AC0">
              <w:rPr>
                <w:rFonts w:cs="Arial"/>
                <w:b/>
                <w:sz w:val="20"/>
                <w:szCs w:val="20"/>
              </w:rPr>
              <w:t xml:space="preserve"> de los </w:t>
            </w:r>
            <w:proofErr w:type="spellStart"/>
            <w:r w:rsidRPr="00C44AC0">
              <w:rPr>
                <w:rFonts w:cs="Arial"/>
                <w:b/>
                <w:sz w:val="20"/>
                <w:szCs w:val="20"/>
              </w:rPr>
              <w:t>estudiantes</w:t>
            </w:r>
            <w:proofErr w:type="spellEnd"/>
            <w:r w:rsidRPr="00C44AC0">
              <w:rPr>
                <w:rFonts w:cs="Arial"/>
                <w:b/>
                <w:sz w:val="20"/>
                <w:szCs w:val="20"/>
              </w:rPr>
              <w:t xml:space="preserve">: </w:t>
            </w:r>
          </w:p>
        </w:tc>
      </w:tr>
      <w:tr w:rsidR="00F64869" w:rsidRPr="00C44AC0" w14:paraId="2A6D7E74" w14:textId="77777777" w:rsidTr="00340592">
        <w:trPr>
          <w:trHeight w:val="519"/>
          <w:jc w:val="center"/>
        </w:trPr>
        <w:tc>
          <w:tcPr>
            <w:tcW w:w="7792" w:type="dxa"/>
            <w:gridSpan w:val="2"/>
            <w:shd w:val="clear" w:color="auto" w:fill="auto"/>
            <w:vAlign w:val="center"/>
          </w:tcPr>
          <w:p w14:paraId="06ABD552" w14:textId="595C7C58" w:rsidR="00F64869" w:rsidRPr="00C44AC0" w:rsidRDefault="00F64869" w:rsidP="00AD688C">
            <w:pPr>
              <w:spacing w:after="0" w:line="360" w:lineRule="auto"/>
              <w:rPr>
                <w:rFonts w:cs="Arial"/>
                <w:b/>
                <w:sz w:val="20"/>
                <w:szCs w:val="20"/>
                <w:lang w:val="es-EC"/>
              </w:rPr>
            </w:pPr>
            <w:r w:rsidRPr="00C44AC0">
              <w:rPr>
                <w:rFonts w:cs="Arial"/>
                <w:b/>
                <w:sz w:val="20"/>
                <w:szCs w:val="20"/>
                <w:lang w:val="es-EC"/>
              </w:rPr>
              <w:t xml:space="preserve">Asignatura: </w:t>
            </w:r>
            <w:r>
              <w:rPr>
                <w:rFonts w:ascii="Arial" w:hAnsi="Arial" w:cs="Arial" w:eastAsia="Arial"/>
                <w:sz w:val="20"/>
                <w:szCs w:val="20"/>
                <w:lang w:val="es-EC"/>
              </w:rPr>
              <w:t xml:space="preserve"> Antropología y Diálogo de Saberes</w:t>
            </w:r>
          </w:p>
        </w:tc>
        <w:tc>
          <w:tcPr>
            <w:tcW w:w="1990" w:type="dxa"/>
            <w:vMerge w:val="restart"/>
            <w:shd w:val="clear" w:color="auto" w:fill="auto"/>
            <w:vAlign w:val="center"/>
          </w:tcPr>
          <w:p w14:paraId="09235CC5" w14:textId="77777777" w:rsidR="00F64869" w:rsidRPr="00C44AC0" w:rsidRDefault="00F64869" w:rsidP="00AD688C">
            <w:pPr>
              <w:spacing w:after="0" w:line="360" w:lineRule="auto"/>
              <w:jc w:val="center"/>
              <w:rPr>
                <w:rFonts w:cs="Arial"/>
                <w:b/>
                <w:sz w:val="20"/>
                <w:szCs w:val="20"/>
              </w:rPr>
            </w:pPr>
            <w:proofErr w:type="spellStart"/>
            <w:r w:rsidRPr="00C44AC0">
              <w:rPr>
                <w:rFonts w:cs="Arial"/>
                <w:b/>
                <w:sz w:val="20"/>
                <w:szCs w:val="20"/>
              </w:rPr>
              <w:t>Calificación</w:t>
            </w:r>
            <w:proofErr w:type="spellEnd"/>
            <w:r w:rsidRPr="00C44AC0">
              <w:rPr>
                <w:rFonts w:cs="Arial"/>
                <w:b/>
                <w:sz w:val="20"/>
                <w:szCs w:val="20"/>
              </w:rPr>
              <w:t>:</w:t>
            </w:r>
          </w:p>
          <w:p w14:paraId="2CAAAAF7" w14:textId="77777777" w:rsidR="00F64869" w:rsidRPr="00C44AC0" w:rsidRDefault="00F64869" w:rsidP="00AD688C">
            <w:pPr>
              <w:spacing w:after="0" w:line="360" w:lineRule="auto"/>
              <w:jc w:val="center"/>
              <w:rPr>
                <w:rFonts w:cs="Arial"/>
                <w:bCs/>
                <w:sz w:val="20"/>
                <w:szCs w:val="20"/>
              </w:rPr>
            </w:pPr>
            <w:proofErr w:type="spellStart"/>
            <w:r w:rsidRPr="00C44AC0">
              <w:rPr>
                <w:rFonts w:cs="Arial"/>
                <w:bCs/>
                <w:sz w:val="20"/>
                <w:szCs w:val="20"/>
              </w:rPr>
              <w:t>Sobre</w:t>
            </w:r>
            <w:proofErr w:type="spellEnd"/>
            <w:r w:rsidRPr="00C44AC0">
              <w:rPr>
                <w:rFonts w:cs="Arial"/>
                <w:bCs/>
                <w:sz w:val="20"/>
                <w:szCs w:val="20"/>
              </w:rPr>
              <w:t xml:space="preserve"> 7,5 puntos</w:t>
            </w:r>
          </w:p>
        </w:tc>
      </w:tr>
      <w:tr w:rsidR="00F64869" w:rsidRPr="00C44AC0" w14:paraId="7A8EEFD3" w14:textId="77777777" w:rsidTr="00340592">
        <w:trPr>
          <w:trHeight w:val="475"/>
          <w:jc w:val="center"/>
        </w:trPr>
        <w:tc>
          <w:tcPr>
            <w:tcW w:w="7792" w:type="dxa"/>
            <w:gridSpan w:val="2"/>
            <w:shd w:val="clear" w:color="auto" w:fill="auto"/>
            <w:vAlign w:val="center"/>
          </w:tcPr>
          <w:p w14:paraId="4598EEDF" w14:textId="4C1B31E8" w:rsidR="00F64869" w:rsidRPr="00C44AC0" w:rsidRDefault="00F64869" w:rsidP="00AD688C">
            <w:pPr>
              <w:spacing w:after="0" w:line="360" w:lineRule="auto"/>
              <w:rPr>
                <w:rFonts w:cs="Arial"/>
                <w:b/>
                <w:sz w:val="20"/>
                <w:szCs w:val="20"/>
              </w:rPr>
            </w:pPr>
            <w:proofErr w:type="spellStart"/>
            <w:r w:rsidRPr="00C44AC0">
              <w:rPr>
                <w:rFonts w:cs="Arial"/>
                <w:b/>
                <w:sz w:val="20"/>
                <w:szCs w:val="20"/>
              </w:rPr>
              <w:t>Fecha</w:t>
            </w:r>
            <w:proofErr w:type="spellEnd"/>
            <w:r w:rsidRPr="00C44AC0">
              <w:rPr>
                <w:rFonts w:cs="Arial"/>
                <w:b/>
                <w:sz w:val="20"/>
                <w:szCs w:val="20"/>
              </w:rPr>
              <w:t xml:space="preserve"> del </w:t>
            </w:r>
            <w:proofErr w:type="spellStart"/>
            <w:r w:rsidRPr="00C44AC0">
              <w:rPr>
                <w:rFonts w:cs="Arial"/>
                <w:b/>
                <w:sz w:val="20"/>
                <w:szCs w:val="20"/>
              </w:rPr>
              <w:t>informe</w:t>
            </w:r>
            <w:proofErr w:type="spellEnd"/>
            <w:r w:rsidRPr="00C44AC0">
              <w:rPr>
                <w:rFonts w:cs="Arial"/>
                <w:b/>
                <w:sz w:val="20"/>
                <w:szCs w:val="20"/>
              </w:rPr>
              <w:t>:</w:t>
            </w:r>
          </w:p>
        </w:tc>
        <w:tc>
          <w:tcPr>
            <w:tcW w:w="1990" w:type="dxa"/>
            <w:vMerge/>
            <w:shd w:val="clear" w:color="auto" w:fill="auto"/>
          </w:tcPr>
          <w:p w14:paraId="1710CCD6" w14:textId="77777777" w:rsidR="00F64869" w:rsidRPr="00C44AC0" w:rsidRDefault="00F64869" w:rsidP="00AD688C">
            <w:pPr>
              <w:spacing w:after="0" w:line="360" w:lineRule="auto"/>
              <w:rPr>
                <w:rFonts w:cs="Arial"/>
                <w:b/>
                <w:sz w:val="20"/>
                <w:szCs w:val="20"/>
              </w:rPr>
            </w:pPr>
          </w:p>
        </w:tc>
      </w:tr>
      <w:tr w:rsidR="00F64869" w:rsidRPr="00C44AC0" w14:paraId="1F37591B" w14:textId="77777777" w:rsidTr="00340592">
        <w:trPr>
          <w:trHeight w:val="437"/>
          <w:jc w:val="center"/>
        </w:trPr>
        <w:tc>
          <w:tcPr>
            <w:tcW w:w="7792" w:type="dxa"/>
            <w:gridSpan w:val="2"/>
            <w:shd w:val="clear" w:color="auto" w:fill="auto"/>
            <w:vAlign w:val="center"/>
          </w:tcPr>
          <w:p w14:paraId="589379CC" w14:textId="4A567E60" w:rsidR="00F64869" w:rsidRPr="00C44AC0" w:rsidRDefault="00F64869" w:rsidP="00AD688C">
            <w:pPr>
              <w:spacing w:after="0" w:line="240" w:lineRule="auto"/>
              <w:rPr>
                <w:rFonts w:cs="Arial"/>
                <w:b/>
                <w:sz w:val="20"/>
                <w:szCs w:val="20"/>
              </w:rPr>
            </w:pPr>
            <w:r w:rsidRPr="00C44AC0">
              <w:rPr>
                <w:rFonts w:cs="Arial"/>
                <w:b/>
                <w:sz w:val="20"/>
                <w:szCs w:val="20"/>
              </w:rPr>
              <w:t xml:space="preserve">N° </w:t>
            </w:r>
            <w:proofErr w:type="spellStart"/>
            <w:r w:rsidRPr="00C44AC0">
              <w:rPr>
                <w:rFonts w:cs="Arial"/>
                <w:b/>
                <w:sz w:val="20"/>
                <w:szCs w:val="20"/>
              </w:rPr>
              <w:t>Práctica</w:t>
            </w:r>
            <w:proofErr w:type="spellEnd"/>
            <w:r w:rsidRPr="00C44AC0">
              <w:rPr>
                <w:rFonts w:cs="Arial"/>
                <w:b/>
                <w:sz w:val="20"/>
                <w:szCs w:val="20"/>
              </w:rPr>
              <w:t>:</w:t>
            </w:r>
            <w:r>
              <w:rPr>
                <w:rFonts w:ascii="Arial" w:hAnsi="Arial" w:cs="Arial" w:eastAsia="Arial"/>
                <w:sz w:val="20"/>
                <w:szCs w:val="20"/>
                <w:lang w:val="es-EC"/>
              </w:rPr>
              <w:t xml:space="preserve"> 2</w:t>
            </w:r>
          </w:p>
        </w:tc>
        <w:tc>
          <w:tcPr>
            <w:tcW w:w="1990" w:type="dxa"/>
            <w:vMerge/>
            <w:shd w:val="clear" w:color="auto" w:fill="auto"/>
          </w:tcPr>
          <w:p w14:paraId="2CB46299" w14:textId="77777777" w:rsidR="00F64869" w:rsidRPr="00C44AC0" w:rsidRDefault="00F64869" w:rsidP="00AD688C">
            <w:pPr>
              <w:spacing w:after="0" w:line="360" w:lineRule="auto"/>
              <w:rPr>
                <w:rFonts w:cs="Arial"/>
                <w:sz w:val="20"/>
                <w:szCs w:val="20"/>
              </w:rPr>
            </w:pPr>
          </w:p>
        </w:tc>
      </w:tr>
      <w:tr w:rsidR="00F64869" w:rsidRPr="00393830" w14:paraId="244BBC34" w14:textId="77777777" w:rsidTr="00340592">
        <w:trPr>
          <w:trHeight w:val="437"/>
          <w:jc w:val="center"/>
        </w:trPr>
        <w:tc>
          <w:tcPr>
            <w:tcW w:w="7792" w:type="dxa"/>
            <w:gridSpan w:val="2"/>
            <w:shd w:val="clear" w:color="auto" w:fill="auto"/>
            <w:vAlign w:val="center"/>
          </w:tcPr>
          <w:p w14:paraId="29622C43" w14:textId="733B14B2" w:rsidR="00F64869" w:rsidRPr="002826F0" w:rsidRDefault="00F64869" w:rsidP="00AD688C">
            <w:pPr>
              <w:spacing w:after="0" w:line="240" w:lineRule="auto"/>
              <w:rPr>
                <w:rFonts w:cs="Arial"/>
                <w:b/>
                <w:sz w:val="20"/>
                <w:szCs w:val="20"/>
                <w:lang w:val="es-EC"/>
              </w:rPr>
            </w:pPr>
            <w:r w:rsidRPr="002826F0">
              <w:rPr>
                <w:rFonts w:cs="Arial"/>
                <w:b/>
                <w:sz w:val="20"/>
                <w:szCs w:val="20"/>
                <w:lang w:val="es-EC"/>
              </w:rPr>
              <w:t>Título de la Práctica:</w:t>
            </w:r>
            <w:r>
              <w:rPr>
                <w:rFonts w:ascii="Arial" w:hAnsi="Arial" w:cs="Arial" w:eastAsia="Arial"/>
                <w:sz w:val="20"/>
                <w:szCs w:val="20"/>
                <w:lang w:val="es-EC"/>
              </w:rPr>
              <w:t xml:space="preserve"> Saberes ancestrales en el contexto ecuatoriano: cosmovisión, conocimientos tradicionales y diálogo intercultural</w:t>
            </w:r>
          </w:p>
        </w:tc>
        <w:tc>
          <w:tcPr>
            <w:tcW w:w="1990" w:type="dxa"/>
            <w:vMerge/>
            <w:shd w:val="clear" w:color="auto" w:fill="auto"/>
          </w:tcPr>
          <w:p w14:paraId="3648DCCF" w14:textId="77777777" w:rsidR="00F64869" w:rsidRPr="002826F0" w:rsidRDefault="00F64869" w:rsidP="00AD688C">
            <w:pPr>
              <w:spacing w:after="0" w:line="360" w:lineRule="auto"/>
              <w:rPr>
                <w:rFonts w:cs="Arial"/>
                <w:sz w:val="20"/>
                <w:szCs w:val="20"/>
                <w:lang w:val="es-EC"/>
              </w:rPr>
            </w:pPr>
          </w:p>
        </w:tc>
      </w:tr>
      <w:tr w:rsidR="00F64869" w:rsidRPr="00393830" w14:paraId="067FFAA7"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087FE9EA" w14:textId="77777777" w:rsidR="00F64869" w:rsidRPr="00C44AC0" w:rsidRDefault="00F64869" w:rsidP="00AD688C">
            <w:pPr>
              <w:spacing w:after="0" w:line="240" w:lineRule="auto"/>
              <w:rPr>
                <w:rFonts w:cs="Arial"/>
                <w:b/>
                <w:sz w:val="20"/>
                <w:szCs w:val="20"/>
              </w:rPr>
            </w:pPr>
            <w:proofErr w:type="spellStart"/>
            <w:r w:rsidRPr="00C44AC0">
              <w:rPr>
                <w:rFonts w:cs="Arial"/>
                <w:b/>
                <w:sz w:val="20"/>
                <w:szCs w:val="20"/>
              </w:rPr>
              <w:t>Introducción</w:t>
            </w:r>
            <w:proofErr w:type="spellEnd"/>
          </w:p>
        </w:tc>
        <w:tc>
          <w:tcPr>
            <w:tcW w:w="7944" w:type="dxa"/>
            <w:gridSpan w:val="2"/>
            <w:shd w:val="clear" w:color="auto" w:fill="auto"/>
            <w:vAlign w:val="center"/>
          </w:tcPr>
          <w:p>
            <w:pPr>
              <w:spacing w:before="0" w:after="0" w:line="480" w:lineRule="auto"/>
              <w:ind w:left="0" w:firstLine="720"/>
              <w:jc w:val="left"/>
            </w:pPr>
            <w:r>
              <w:rPr>
                <w:rFonts w:ascii="Arial" w:hAnsi="Arial" w:cs="Arial" w:eastAsia="Arial"/>
                <w:sz w:val="22"/>
                <w:szCs w:val="22"/>
                <w:lang w:val="es-EC"/>
              </w:rPr>
              <w:t xml:space="preserve">La antropología estudia al ser humano en sus dimensiones biológica, social, cultural e histórica, y el diálogo de saberes reconoce el valor tanto del conocimiento académico como de las prácticas culturales originarias. En el Ecuador, esta mirada se relaciona con la Constitución de 2008, que define al Estado como intercultural y plurinacional (art. 1), reconoce los derechos de la naturaleza (art. 71) y el derecho de la población a vivir en un ambiente sano y ecológicamente equilibrado, bajo el principio del buen vivir o </w:t>
            </w:r>
            <w:r>
              <w:rPr>
                <w:rFonts w:ascii="Arial" w:hAnsi="Arial" w:cs="Arial" w:eastAsia="Arial"/>
                <w:i/>
                <w:iCs/>
                <w:sz w:val="22"/>
                <w:szCs w:val="22"/>
                <w:lang w:val="es-EC"/>
              </w:rPr>
              <w:t xml:space="preserve">sumak kawsay</w:t>
            </w:r>
            <w:r>
              <w:rPr>
                <w:rFonts w:ascii="Arial" w:hAnsi="Arial" w:cs="Arial" w:eastAsia="Arial"/>
                <w:sz w:val="22"/>
                <w:szCs w:val="22"/>
                <w:lang w:val="es-EC"/>
              </w:rPr>
              <w:t xml:space="preserve"> (art. 14) (Asamblea Nacional del Ecuador, 2008).</w:t>
            </w:r>
          </w:p>
          <w:p>
            <w:pPr>
              <w:spacing w:before="0" w:after="0" w:line="480" w:lineRule="auto"/>
              <w:ind w:left="0" w:firstLine="720"/>
              <w:jc w:val="left"/>
            </w:pPr>
            <w:r>
              <w:rPr>
                <w:rFonts w:ascii="Arial" w:hAnsi="Arial" w:cs="Arial" w:eastAsia="Arial"/>
                <w:sz w:val="22"/>
                <w:szCs w:val="22"/>
                <w:lang w:val="es-EC"/>
              </w:rPr>
              <w:t xml:space="preserve">La cosmovisión es la manera en que un pueblo entiende el mundo, la naturaleza y las relaciones entre las personas. En la región andina, el </w:t>
            </w:r>
            <w:r>
              <w:rPr>
                <w:rFonts w:ascii="Arial" w:hAnsi="Arial" w:cs="Arial" w:eastAsia="Arial"/>
                <w:i/>
                <w:iCs/>
                <w:sz w:val="22"/>
                <w:szCs w:val="22"/>
                <w:lang w:val="es-EC"/>
              </w:rPr>
              <w:t xml:space="preserve">sumak kawsay</w:t>
            </w:r>
            <w:r>
              <w:rPr>
                <w:rFonts w:ascii="Arial" w:hAnsi="Arial" w:cs="Arial" w:eastAsia="Arial"/>
                <w:sz w:val="22"/>
                <w:szCs w:val="22"/>
                <w:lang w:val="es-EC"/>
              </w:rPr>
              <w:t xml:space="preserve"> se ha construido como una propuesta de resistencia sociopolítica frente a la hegemonía neoliberal y al desarrollismo extractivista, y como un desafío epistémico, pues el Ecuador adoptó los derechos de la naturaleza y se definió como plurinacional por primera vez en su historia (Piñeiro Aguiar &amp; Polo Blanco, 2021). En la Amazonía, la cosmovisión kichwa se refleja en experiencias como la del Grupo chakra de Archidona (Napo), un sistema agroforestal que toma la sabiduría del pueblo kichwa amazónico y busca generar ingresos de manera limpia y responsable con el medio ambiente (Echezuría Fernández, 2023).</w:t>
            </w:r>
          </w:p>
          <w:p>
            <w:pPr>
              <w:spacing w:before="0" w:after="0" w:line="480" w:lineRule="auto"/>
              <w:ind w:left="0" w:firstLine="720"/>
              <w:jc w:val="left"/>
            </w:pPr>
            <w:r>
              <w:rPr>
                <w:rFonts w:ascii="Arial" w:hAnsi="Arial" w:cs="Arial" w:eastAsia="Arial"/>
                <w:sz w:val="22"/>
                <w:szCs w:val="22"/>
                <w:lang w:val="es-EC"/>
              </w:rPr>
              <w:t xml:space="preserve">Un ejemplo reciente de la cosmovisión amazónica es el </w:t>
            </w:r>
            <w:r>
              <w:rPr>
                <w:rFonts w:ascii="Arial" w:hAnsi="Arial" w:cs="Arial" w:eastAsia="Arial"/>
                <w:i/>
                <w:iCs/>
                <w:sz w:val="22"/>
                <w:szCs w:val="22"/>
                <w:lang w:val="es-EC"/>
              </w:rPr>
              <w:t xml:space="preserve">Kawsak Sacha</w:t>
            </w:r>
            <w:r>
              <w:rPr>
                <w:rFonts w:ascii="Arial" w:hAnsi="Arial" w:cs="Arial" w:eastAsia="Arial"/>
                <w:sz w:val="22"/>
                <w:szCs w:val="22"/>
                <w:lang w:val="es-EC"/>
              </w:rPr>
              <w:t xml:space="preserve"> o Selva Viviente, propuesta presentada en 2018 por el pueblo kichwa de Sarayaku, que entiende la selva como un ser vivo y consciente, sujeto de derechos, cuyos elementos (plantas, animales, personas, ríos, viento y estrellas) tienen espíritu y están interconectados (El Comercio, s. f.).</w:t>
            </w:r>
          </w:p>
          <w:p>
            <w:pPr>
              <w:spacing w:before="0" w:after="0" w:line="480" w:lineRule="auto"/>
              <w:ind w:left="0" w:firstLine="720"/>
              <w:jc w:val="left"/>
            </w:pPr>
            <w:r>
              <w:rPr>
                <w:rFonts w:ascii="Arial" w:hAnsi="Arial" w:cs="Arial" w:eastAsia="Arial"/>
                <w:sz w:val="22"/>
                <w:szCs w:val="22"/>
                <w:lang w:val="es-EC"/>
              </w:rPr>
              <w:t xml:space="preserve">En cuanto al diálogo intercultural, tras el paro nacional de junio de 2022 el Gobierno y las organizaciones indígenas instalaron mesas de diálogo para gestionar el conflicto. Este proceso fue analizado en la publicación </w:t>
            </w:r>
            <w:r>
              <w:rPr>
                <w:rFonts w:ascii="Arial" w:hAnsi="Arial" w:cs="Arial" w:eastAsia="Arial"/>
                <w:i/>
                <w:iCs/>
                <w:sz w:val="22"/>
                <w:szCs w:val="22"/>
                <w:lang w:val="es-EC"/>
              </w:rPr>
              <w:t xml:space="preserve">Diálogos para la paz</w:t>
            </w:r>
            <w:r>
              <w:rPr>
                <w:rFonts w:ascii="Arial" w:hAnsi="Arial" w:cs="Arial" w:eastAsia="Arial"/>
                <w:sz w:val="22"/>
                <w:szCs w:val="22"/>
                <w:lang w:val="es-EC"/>
              </w:rPr>
              <w:t xml:space="preserve">, que plantea el diálogo y la negociación como un mecanismo democrático de gestión de conflictos, con enfoque de derechos, interculturalidad y género (Barrera et al., 2024).</w:t>
            </w:r>
          </w:p>
          <w:p>
            <w:pPr>
              <w:spacing w:before="0" w:after="0" w:line="480" w:lineRule="auto"/>
              <w:ind w:left="0" w:firstLine="720"/>
              <w:jc w:val="left"/>
            </w:pPr>
            <w:r>
              <w:rPr>
                <w:rFonts w:ascii="Arial" w:hAnsi="Arial" w:cs="Arial" w:eastAsia="Arial"/>
                <w:sz w:val="22"/>
                <w:szCs w:val="22"/>
                <w:lang w:val="es-EC"/>
              </w:rPr>
              <w:t xml:space="preserve">Esta práctica se justifica porque permite comparar las cosmovisiones andina y amazónica, reconocer sus puntos en común y sus diferencias, y analizar cómo el diálogo intercultural puede ayudar a resolver conflictos sociales en un país plurinacional. Con ello se contribuye al Resultado de Aprendizaje II de la asignatura.</w:t>
            </w:r>
          </w:p>
        </w:tc>
      </w:tr>
      <w:tr w:rsidR="00F64869" w:rsidRPr="00393830" w14:paraId="0E575DA5"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76BF84CC" w14:textId="77777777" w:rsidR="00F64869" w:rsidRPr="00C44AC0" w:rsidRDefault="00F64869" w:rsidP="00C11925">
            <w:pPr>
              <w:spacing w:after="0" w:line="240" w:lineRule="auto"/>
              <w:jc w:val="left"/>
              <w:rPr>
                <w:rFonts w:cs="Arial"/>
                <w:b/>
                <w:sz w:val="20"/>
                <w:szCs w:val="20"/>
              </w:rPr>
            </w:pPr>
            <w:r w:rsidRPr="00C44AC0">
              <w:rPr>
                <w:rFonts w:cs="Arial"/>
                <w:b/>
                <w:sz w:val="20"/>
                <w:szCs w:val="20"/>
              </w:rPr>
              <w:t xml:space="preserve">Desarrollo o </w:t>
            </w:r>
            <w:proofErr w:type="spellStart"/>
            <w:r w:rsidRPr="00C44AC0">
              <w:rPr>
                <w:rFonts w:cs="Arial"/>
                <w:b/>
                <w:sz w:val="20"/>
                <w:szCs w:val="20"/>
              </w:rPr>
              <w:t>procedimiento</w:t>
            </w:r>
            <w:proofErr w:type="spellEnd"/>
          </w:p>
        </w:tc>
        <w:tc>
          <w:tcPr>
            <w:tcW w:w="7944" w:type="dxa"/>
            <w:gridSpan w:val="2"/>
            <w:shd w:val="clear" w:color="auto" w:fill="auto"/>
            <w:vAlign w:val="center"/>
          </w:tcPr>
          <w:p>
            <w:pPr>
              <w:spacing w:before="0" w:after="0" w:line="480" w:lineRule="auto"/>
              <w:ind w:left="0" w:firstLine="720"/>
              <w:jc w:val="left"/>
            </w:pPr>
            <w:r>
              <w:rPr>
                <w:rFonts w:ascii="Arial" w:hAnsi="Arial" w:cs="Arial" w:eastAsia="Arial"/>
                <w:sz w:val="22"/>
                <w:szCs w:val="22"/>
                <w:lang w:val="es-EC"/>
              </w:rPr>
              <w:t xml:space="preserve">La práctica es de escritorio (escenario virtual) y tuvo una duración de ocho horas. Se utilizaron fuentes secundarias: artículos académicos de 2021 en adelante, una publicación académica de 2024, la Constitución de la República del Ecuador y notas de fuentes oficiales y de prensa. No se realizaron visitas de campo ni entrevistas.</w:t>
            </w:r>
          </w:p>
          <w:p>
            <w:pPr>
              <w:keepNext/>
              <w:spacing w:before="0" w:after="0" w:line="480" w:lineRule="auto"/>
              <w:ind w:left="0" w:firstLine="0"/>
              <w:jc w:val="left"/>
            </w:pPr>
            <w:r>
              <w:rPr>
                <w:rFonts w:ascii="Arial" w:hAnsi="Arial" w:cs="Arial" w:eastAsia="Arial"/>
                <w:b/>
                <w:bCs/>
                <w:sz w:val="22"/>
                <w:szCs w:val="22"/>
                <w:lang w:val="es-EC"/>
              </w:rPr>
              <w:t xml:space="preserve">Actividad 1. Mapa conceptual comparativo</w:t>
            </w:r>
          </w:p>
          <w:p>
            <w:pPr>
              <w:spacing w:before="0" w:after="0" w:line="480" w:lineRule="auto"/>
              <w:ind w:left="0" w:firstLine="720"/>
              <w:jc w:val="left"/>
            </w:pPr>
            <w:r>
              <w:rPr>
                <w:rFonts w:ascii="Arial" w:hAnsi="Arial" w:cs="Arial" w:eastAsia="Arial"/>
                <w:sz w:val="22"/>
                <w:szCs w:val="22"/>
                <w:lang w:val="es-EC"/>
              </w:rPr>
              <w:t xml:space="preserve">Primero se revisaron las fuentes sobre el </w:t>
            </w:r>
            <w:r>
              <w:rPr>
                <w:rFonts w:ascii="Arial" w:hAnsi="Arial" w:cs="Arial" w:eastAsia="Arial"/>
                <w:i/>
                <w:iCs/>
                <w:sz w:val="22"/>
                <w:szCs w:val="22"/>
                <w:lang w:val="es-EC"/>
              </w:rPr>
              <w:t xml:space="preserve">sumak kawsay</w:t>
            </w:r>
            <w:r>
              <w:rPr>
                <w:rFonts w:ascii="Arial" w:hAnsi="Arial" w:cs="Arial" w:eastAsia="Arial"/>
                <w:sz w:val="22"/>
                <w:szCs w:val="22"/>
                <w:lang w:val="es-EC"/>
              </w:rPr>
              <w:t xml:space="preserve"> andino y amazónico. Luego se organizó la información en las cinco dimensiones que pide la guía (cultural, espiritual, social, económica y ecológica) para cada cosmovisión. Después se identificaron seis similitudes y cinco diferencias, y se seleccionaron ejemplos concretos de prácticas comunitarias, rituales y manejo del territorio. Finalmente se elaboró el mapa de forma digital, con jerarquía de ideas y conectores (Anexo 1).</w:t>
            </w:r>
          </w:p>
          <w:p>
            <w:pPr>
              <w:keepNext/>
              <w:spacing w:before="0" w:after="0" w:line="480" w:lineRule="auto"/>
              <w:ind w:left="0" w:firstLine="0"/>
              <w:jc w:val="left"/>
            </w:pPr>
            <w:r>
              <w:rPr>
                <w:rFonts w:ascii="Arial" w:hAnsi="Arial" w:cs="Arial" w:eastAsia="Arial"/>
                <w:b/>
                <w:bCs/>
                <w:sz w:val="22"/>
                <w:szCs w:val="22"/>
                <w:lang w:val="es-EC"/>
              </w:rPr>
              <w:t xml:space="preserve">Actividad 2. Análisis de caso sobre diálogo intercultural</w:t>
            </w:r>
          </w:p>
          <w:p>
            <w:pPr>
              <w:spacing w:before="0" w:after="0" w:line="480" w:lineRule="auto"/>
              <w:ind w:left="0" w:firstLine="720"/>
              <w:jc w:val="left"/>
            </w:pPr>
            <w:r>
              <w:rPr>
                <w:rFonts w:ascii="Arial" w:hAnsi="Arial" w:cs="Arial" w:eastAsia="Arial"/>
                <w:sz w:val="22"/>
                <w:szCs w:val="22"/>
                <w:lang w:val="es-EC"/>
              </w:rPr>
              <w:t xml:space="preserve">Se eligió el diálogo entre el Gobierno nacional y las organizaciones indígenas tras el paro nacional de 2022, porque es un caso reciente, documentado en fuentes oficiales y en una publicación académica. Se buscó la información en esas fuentes, se organizó según la estructura de la guía (título y año, contexto, actores, estrategias, resultados y análisis crítico) y se redactó el análisis final.</w:t>
            </w:r>
          </w:p>
        </w:tc>
      </w:tr>
      <w:tr w:rsidR="00F64869" w:rsidRPr="00393830" w14:paraId="669C426D"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48B02C74" w14:textId="77777777" w:rsidR="00F64869" w:rsidRPr="00C44AC0" w:rsidRDefault="00F64869" w:rsidP="00AD688C">
            <w:pPr>
              <w:spacing w:after="0" w:line="240" w:lineRule="auto"/>
              <w:rPr>
                <w:rFonts w:cs="Arial"/>
                <w:b/>
                <w:sz w:val="20"/>
                <w:szCs w:val="20"/>
              </w:rPr>
            </w:pPr>
            <w:proofErr w:type="spellStart"/>
            <w:r w:rsidRPr="00C44AC0">
              <w:rPr>
                <w:rFonts w:cs="Arial"/>
                <w:b/>
                <w:sz w:val="20"/>
                <w:szCs w:val="20"/>
              </w:rPr>
              <w:t>Resultados</w:t>
            </w:r>
            <w:proofErr w:type="spellEnd"/>
          </w:p>
        </w:tc>
        <w:tc>
          <w:tcPr>
            <w:tcW w:w="7944" w:type="dxa"/>
            <w:gridSpan w:val="2"/>
            <w:shd w:val="clear" w:color="auto" w:fill="auto"/>
            <w:vAlign w:val="center"/>
          </w:tcPr>
          <w:p>
            <w:pPr>
              <w:keepNext/>
              <w:spacing w:before="0" w:after="0" w:line="480" w:lineRule="auto"/>
              <w:ind w:left="0" w:firstLine="0"/>
              <w:jc w:val="left"/>
            </w:pPr>
            <w:r>
              <w:rPr>
                <w:rFonts w:ascii="Arial" w:hAnsi="Arial" w:cs="Arial" w:eastAsia="Arial"/>
                <w:b/>
                <w:bCs/>
                <w:sz w:val="22"/>
                <w:szCs w:val="22"/>
                <w:lang w:val="es-EC"/>
              </w:rPr>
              <w:t xml:space="preserve">Actividad 1. Mapa conceptual comparativo</w:t>
            </w:r>
          </w:p>
          <w:p>
            <w:pPr>
              <w:spacing w:before="0" w:after="0" w:line="480" w:lineRule="auto"/>
              <w:ind w:left="0" w:firstLine="720"/>
              <w:jc w:val="left"/>
            </w:pPr>
            <w:r>
              <w:rPr>
                <w:rFonts w:ascii="Arial" w:hAnsi="Arial" w:cs="Arial" w:eastAsia="Arial"/>
                <w:sz w:val="22"/>
                <w:szCs w:val="22"/>
                <w:lang w:val="es-EC"/>
              </w:rPr>
              <w:t xml:space="preserve">El mapa (Anexo 1) compara ambas cosmovisiones. La cosmovisión andina se expresa en una identidad ligada a la comunidad y a la lengua kichwa; en la veneración de la Pachamama, los apus, el Inti y la Killa; en una organización comunitaria basada en la reciprocidad (</w:t>
            </w:r>
            <w:r>
              <w:rPr>
                <w:rFonts w:ascii="Arial" w:hAnsi="Arial" w:cs="Arial" w:eastAsia="Arial"/>
                <w:i/>
                <w:iCs/>
                <w:sz w:val="22"/>
                <w:szCs w:val="22"/>
                <w:lang w:val="es-EC"/>
              </w:rPr>
              <w:t xml:space="preserve">ayni</w:t>
            </w:r>
            <w:r>
              <w:rPr>
                <w:rFonts w:ascii="Arial" w:hAnsi="Arial" w:cs="Arial" w:eastAsia="Arial"/>
                <w:sz w:val="22"/>
                <w:szCs w:val="22"/>
                <w:lang w:val="es-EC"/>
              </w:rPr>
              <w:t xml:space="preserve">) y el trabajo colectivo (</w:t>
            </w:r>
            <w:r>
              <w:rPr>
                <w:rFonts w:ascii="Arial" w:hAnsi="Arial" w:cs="Arial" w:eastAsia="Arial"/>
                <w:i/>
                <w:iCs/>
                <w:sz w:val="22"/>
                <w:szCs w:val="22"/>
                <w:lang w:val="es-EC"/>
              </w:rPr>
              <w:t xml:space="preserve">minga</w:t>
            </w:r>
            <w:r>
              <w:rPr>
                <w:rFonts w:ascii="Arial" w:hAnsi="Arial" w:cs="Arial" w:eastAsia="Arial"/>
                <w:sz w:val="22"/>
                <w:szCs w:val="22"/>
                <w:lang w:val="es-EC"/>
              </w:rPr>
              <w:t xml:space="preserve">); en una agricultura de altura con economía solidaria; y en el cuidado de páramos y fuentes de agua. La cosmovisión amazónica se expresa en una identidad ligada a la selva y a lenguas propias; en la idea de una selva viva con espíritus (</w:t>
            </w:r>
            <w:r>
              <w:rPr>
                <w:rFonts w:ascii="Arial" w:hAnsi="Arial" w:cs="Arial" w:eastAsia="Arial"/>
                <w:i/>
                <w:iCs/>
                <w:sz w:val="22"/>
                <w:szCs w:val="22"/>
                <w:lang w:val="es-EC"/>
              </w:rPr>
              <w:t xml:space="preserve">Kawsak Sacha</w:t>
            </w:r>
            <w:r>
              <w:rPr>
                <w:rFonts w:ascii="Arial" w:hAnsi="Arial" w:cs="Arial" w:eastAsia="Arial"/>
                <w:sz w:val="22"/>
                <w:szCs w:val="22"/>
                <w:lang w:val="es-EC"/>
              </w:rPr>
              <w:t xml:space="preserve">) y en el papel del yachak; en una organización por pueblos y nacionalidades con territorio colectivo; en la chacra, la caza, la pesca y la recolección para el autoconsumo; y en un uso de la selva que evita agotarla.</w:t>
            </w:r>
          </w:p>
          <w:p>
            <w:pPr>
              <w:spacing w:before="0" w:after="0" w:line="480" w:lineRule="auto"/>
              <w:ind w:left="0" w:firstLine="720"/>
              <w:jc w:val="left"/>
            </w:pPr>
            <w:r>
              <w:rPr>
                <w:rFonts w:ascii="Arial" w:hAnsi="Arial" w:cs="Arial" w:eastAsia="Arial"/>
                <w:sz w:val="22"/>
                <w:szCs w:val="22"/>
                <w:lang w:val="es-EC"/>
              </w:rPr>
              <w:t xml:space="preserve">Las </w:t>
            </w:r>
            <w:r>
              <w:rPr>
                <w:rFonts w:ascii="Arial" w:hAnsi="Arial" w:cs="Arial" w:eastAsia="Arial"/>
                <w:b/>
                <w:bCs/>
                <w:sz w:val="22"/>
                <w:szCs w:val="22"/>
                <w:lang w:val="es-EC"/>
              </w:rPr>
              <w:t xml:space="preserve">similitudes</w:t>
            </w:r>
            <w:r>
              <w:rPr>
                <w:rFonts w:ascii="Arial" w:hAnsi="Arial" w:cs="Arial" w:eastAsia="Arial"/>
                <w:sz w:val="22"/>
                <w:szCs w:val="22"/>
                <w:lang w:val="es-EC"/>
              </w:rPr>
              <w:t xml:space="preserve"> identificadas son:</w:t>
            </w:r>
          </w:p>
          <w:p>
            <w:pPr>
              <w:spacing w:before="0" w:after="0" w:line="480" w:lineRule="auto"/>
              <w:ind w:left="720" w:hanging="360"/>
              <w:jc w:val="left"/>
            </w:pPr>
            <w:r>
              <w:rPr>
                <w:rFonts w:ascii="Arial" w:hAnsi="Arial" w:cs="Arial" w:eastAsia="Arial"/>
                <w:sz w:val="22"/>
                <w:szCs w:val="22"/>
                <w:lang w:val="es-EC"/>
              </w:rPr>
              <w:t xml:space="preserve">1. La naturaleza es sagrada y está viva; no es solo un recurso.</w:t>
            </w:r>
          </w:p>
          <w:p>
            <w:pPr>
              <w:spacing w:before="0" w:after="0" w:line="480" w:lineRule="auto"/>
              <w:ind w:left="720" w:hanging="360"/>
              <w:jc w:val="left"/>
            </w:pPr>
            <w:r>
              <w:rPr>
                <w:rFonts w:ascii="Arial" w:hAnsi="Arial" w:cs="Arial" w:eastAsia="Arial"/>
                <w:sz w:val="22"/>
                <w:szCs w:val="22"/>
                <w:lang w:val="es-EC"/>
              </w:rPr>
              <w:t xml:space="preserve">2. La reciprocidad y el trabajo colectivo (</w:t>
            </w:r>
            <w:r>
              <w:rPr>
                <w:rFonts w:ascii="Arial" w:hAnsi="Arial" w:cs="Arial" w:eastAsia="Arial"/>
                <w:i/>
                <w:iCs/>
                <w:sz w:val="22"/>
                <w:szCs w:val="22"/>
                <w:lang w:val="es-EC"/>
              </w:rPr>
              <w:t xml:space="preserve">ayni</w:t>
            </w:r>
            <w:r>
              <w:rPr>
                <w:rFonts w:ascii="Arial" w:hAnsi="Arial" w:cs="Arial" w:eastAsia="Arial"/>
                <w:sz w:val="22"/>
                <w:szCs w:val="22"/>
                <w:lang w:val="es-EC"/>
              </w:rPr>
              <w:t xml:space="preserve">, </w:t>
            </w:r>
            <w:r>
              <w:rPr>
                <w:rFonts w:ascii="Arial" w:hAnsi="Arial" w:cs="Arial" w:eastAsia="Arial"/>
                <w:i/>
                <w:iCs/>
                <w:sz w:val="22"/>
                <w:szCs w:val="22"/>
                <w:lang w:val="es-EC"/>
              </w:rPr>
              <w:t xml:space="preserve">minga</w:t>
            </w:r>
            <w:r>
              <w:rPr>
                <w:rFonts w:ascii="Arial" w:hAnsi="Arial" w:cs="Arial" w:eastAsia="Arial"/>
                <w:sz w:val="22"/>
                <w:szCs w:val="22"/>
                <w:lang w:val="es-EC"/>
              </w:rPr>
              <w:t xml:space="preserve">) son la base de la comunidad.</w:t>
            </w:r>
          </w:p>
          <w:p>
            <w:pPr>
              <w:spacing w:before="0" w:after="0" w:line="480" w:lineRule="auto"/>
              <w:ind w:left="720" w:hanging="360"/>
              <w:jc w:val="left"/>
            </w:pPr>
            <w:r>
              <w:rPr>
                <w:rFonts w:ascii="Arial" w:hAnsi="Arial" w:cs="Arial" w:eastAsia="Arial"/>
                <w:sz w:val="22"/>
                <w:szCs w:val="22"/>
                <w:lang w:val="es-EC"/>
              </w:rPr>
              <w:t xml:space="preserve">3. La identidad se construye en relación con el territorio.</w:t>
            </w:r>
          </w:p>
          <w:p>
            <w:pPr>
              <w:spacing w:before="0" w:after="0" w:line="480" w:lineRule="auto"/>
              <w:ind w:left="720" w:hanging="360"/>
              <w:jc w:val="left"/>
            </w:pPr>
            <w:r>
              <w:rPr>
                <w:rFonts w:ascii="Arial" w:hAnsi="Arial" w:cs="Arial" w:eastAsia="Arial"/>
                <w:sz w:val="22"/>
                <w:szCs w:val="22"/>
                <w:lang w:val="es-EC"/>
              </w:rPr>
              <w:t xml:space="preserve">4. El conocimiento ancestral se transmite de forma oral por los mayores y sabios.</w:t>
            </w:r>
          </w:p>
          <w:p>
            <w:pPr>
              <w:spacing w:before="0" w:after="0" w:line="480" w:lineRule="auto"/>
              <w:ind w:left="720" w:hanging="360"/>
              <w:jc w:val="left"/>
            </w:pPr>
            <w:r>
              <w:rPr>
                <w:rFonts w:ascii="Arial" w:hAnsi="Arial" w:cs="Arial" w:eastAsia="Arial"/>
                <w:sz w:val="22"/>
                <w:szCs w:val="22"/>
                <w:lang w:val="es-EC"/>
              </w:rPr>
              <w:t xml:space="preserve">5. El </w:t>
            </w:r>
            <w:r>
              <w:rPr>
                <w:rFonts w:ascii="Arial" w:hAnsi="Arial" w:cs="Arial" w:eastAsia="Arial"/>
                <w:i/>
                <w:iCs/>
                <w:sz w:val="22"/>
                <w:szCs w:val="22"/>
                <w:lang w:val="es-EC"/>
              </w:rPr>
              <w:t xml:space="preserve">sumak kawsay</w:t>
            </w:r>
            <w:r>
              <w:rPr>
                <w:rFonts w:ascii="Arial" w:hAnsi="Arial" w:cs="Arial" w:eastAsia="Arial"/>
                <w:sz w:val="22"/>
                <w:szCs w:val="22"/>
                <w:lang w:val="es-EC"/>
              </w:rPr>
              <w:t xml:space="preserve"> es un ideal de armonía entre las personas y la naturaleza.</w:t>
            </w:r>
          </w:p>
          <w:p>
            <w:pPr>
              <w:spacing w:before="0" w:after="0" w:line="480" w:lineRule="auto"/>
              <w:ind w:left="720" w:hanging="360"/>
              <w:jc w:val="left"/>
            </w:pPr>
            <w:r>
              <w:rPr>
                <w:rFonts w:ascii="Arial" w:hAnsi="Arial" w:cs="Arial" w:eastAsia="Arial"/>
                <w:sz w:val="22"/>
                <w:szCs w:val="22"/>
                <w:lang w:val="es-EC"/>
              </w:rPr>
              <w:t xml:space="preserve">6. Existe una economía de autoconsumo y de solidaridad.</w:t>
            </w:r>
          </w:p>
          <w:p>
            <w:pPr>
              <w:spacing w:before="0" w:after="0" w:line="480" w:lineRule="auto"/>
              <w:ind w:left="0" w:firstLine="720"/>
              <w:jc w:val="left"/>
            </w:pPr>
            <w:r>
              <w:rPr>
                <w:rFonts w:ascii="Arial" w:hAnsi="Arial" w:cs="Arial" w:eastAsia="Arial"/>
                <w:sz w:val="22"/>
                <w:szCs w:val="22"/>
                <w:lang w:val="es-EC"/>
              </w:rPr>
              <w:t xml:space="preserve">Las </w:t>
            </w:r>
            <w:r>
              <w:rPr>
                <w:rFonts w:ascii="Arial" w:hAnsi="Arial" w:cs="Arial" w:eastAsia="Arial"/>
                <w:b/>
                <w:bCs/>
                <w:sz w:val="22"/>
                <w:szCs w:val="22"/>
                <w:lang w:val="es-EC"/>
              </w:rPr>
              <w:t xml:space="preserve">diferencias</w:t>
            </w:r>
            <w:r>
              <w:rPr>
                <w:rFonts w:ascii="Arial" w:hAnsi="Arial" w:cs="Arial" w:eastAsia="Arial"/>
                <w:sz w:val="22"/>
                <w:szCs w:val="22"/>
                <w:lang w:val="es-EC"/>
              </w:rPr>
              <w:t xml:space="preserve"> identificadas son:</w:t>
            </w:r>
          </w:p>
          <w:p>
            <w:pPr>
              <w:spacing w:before="0" w:after="0" w:line="480" w:lineRule="auto"/>
              <w:ind w:left="720" w:hanging="360"/>
              <w:jc w:val="left"/>
            </w:pPr>
            <w:r>
              <w:rPr>
                <w:rFonts w:ascii="Arial" w:hAnsi="Arial" w:cs="Arial" w:eastAsia="Arial"/>
                <w:sz w:val="22"/>
                <w:szCs w:val="22"/>
                <w:lang w:val="es-EC"/>
              </w:rPr>
              <w:t xml:space="preserve">1. Entorno: montañas y valles de altura frente a selva tropical húmeda.</w:t>
            </w:r>
          </w:p>
          <w:p>
            <w:pPr>
              <w:spacing w:before="0" w:after="0" w:line="480" w:lineRule="auto"/>
              <w:ind w:left="720" w:hanging="360"/>
              <w:jc w:val="left"/>
            </w:pPr>
            <w:r>
              <w:rPr>
                <w:rFonts w:ascii="Arial" w:hAnsi="Arial" w:cs="Arial" w:eastAsia="Arial"/>
                <w:sz w:val="22"/>
                <w:szCs w:val="22"/>
                <w:lang w:val="es-EC"/>
              </w:rPr>
              <w:t xml:space="preserve">2. Seres sagrados: Pachamama, apus e Inti frente a la </w:t>
            </w:r>
            <w:r>
              <w:rPr>
                <w:rFonts w:ascii="Arial" w:hAnsi="Arial" w:cs="Arial" w:eastAsia="Arial"/>
                <w:i/>
                <w:iCs/>
                <w:sz w:val="22"/>
                <w:szCs w:val="22"/>
                <w:lang w:val="es-EC"/>
              </w:rPr>
              <w:t xml:space="preserve">Sacha</w:t>
            </w:r>
            <w:r>
              <w:rPr>
                <w:rFonts w:ascii="Arial" w:hAnsi="Arial" w:cs="Arial" w:eastAsia="Arial"/>
                <w:sz w:val="22"/>
                <w:szCs w:val="22"/>
                <w:lang w:val="es-EC"/>
              </w:rPr>
              <w:t xml:space="preserve"> (selva) y los espíritus de plantas, animales y ríos.</w:t>
            </w:r>
          </w:p>
          <w:p>
            <w:pPr>
              <w:spacing w:before="0" w:after="0" w:line="480" w:lineRule="auto"/>
              <w:ind w:left="720" w:hanging="360"/>
              <w:jc w:val="left"/>
            </w:pPr>
            <w:r>
              <w:rPr>
                <w:rFonts w:ascii="Arial" w:hAnsi="Arial" w:cs="Arial" w:eastAsia="Arial"/>
                <w:sz w:val="22"/>
                <w:szCs w:val="22"/>
                <w:lang w:val="es-EC"/>
              </w:rPr>
              <w:t xml:space="preserve">3. Producción: agricultura de altura frente a chacra, caza, pesca y recolección.</w:t>
            </w:r>
          </w:p>
          <w:p>
            <w:pPr>
              <w:spacing w:before="0" w:after="0" w:line="480" w:lineRule="auto"/>
              <w:ind w:left="720" w:hanging="360"/>
              <w:jc w:val="left"/>
            </w:pPr>
            <w:r>
              <w:rPr>
                <w:rFonts w:ascii="Arial" w:hAnsi="Arial" w:cs="Arial" w:eastAsia="Arial"/>
                <w:sz w:val="22"/>
                <w:szCs w:val="22"/>
                <w:lang w:val="es-EC"/>
              </w:rPr>
              <w:t xml:space="preserve">4. Calendario ritual: ciclo solar-agrícola (</w:t>
            </w:r>
            <w:r>
              <w:rPr>
                <w:rFonts w:ascii="Arial" w:hAnsi="Arial" w:cs="Arial" w:eastAsia="Arial"/>
                <w:i/>
                <w:iCs/>
                <w:sz w:val="22"/>
                <w:szCs w:val="22"/>
                <w:lang w:val="es-EC"/>
              </w:rPr>
              <w:t xml:space="preserve">raymis</w:t>
            </w:r>
            <w:r>
              <w:rPr>
                <w:rFonts w:ascii="Arial" w:hAnsi="Arial" w:cs="Arial" w:eastAsia="Arial"/>
                <w:sz w:val="22"/>
                <w:szCs w:val="22"/>
                <w:lang w:val="es-EC"/>
              </w:rPr>
              <w:t xml:space="preserve">) frente a los ciclos de lluvia, frutos y caza.</w:t>
            </w:r>
          </w:p>
          <w:p>
            <w:pPr>
              <w:spacing w:before="0" w:after="0" w:line="480" w:lineRule="auto"/>
              <w:ind w:left="720" w:hanging="360"/>
              <w:jc w:val="left"/>
            </w:pPr>
            <w:r>
              <w:rPr>
                <w:rFonts w:ascii="Arial" w:hAnsi="Arial" w:cs="Arial" w:eastAsia="Arial"/>
                <w:sz w:val="22"/>
                <w:szCs w:val="22"/>
                <w:lang w:val="es-EC"/>
              </w:rPr>
              <w:t xml:space="preserve">5. Territorio: tierras comunales en comunas frente a territorios amplios de pueblos y nacionalidades.</w:t>
            </w:r>
          </w:p>
          <w:p>
            <w:pPr>
              <w:spacing w:before="0" w:after="0" w:line="480" w:lineRule="auto"/>
              <w:ind w:left="0" w:firstLine="720"/>
              <w:jc w:val="left"/>
            </w:pPr>
            <w:r>
              <w:rPr>
                <w:rFonts w:ascii="Arial" w:hAnsi="Arial" w:cs="Arial" w:eastAsia="Arial"/>
                <w:sz w:val="22"/>
                <w:szCs w:val="22"/>
                <w:lang w:val="es-EC"/>
              </w:rPr>
              <w:t xml:space="preserve">Como ejemplos concretos se incluyeron el </w:t>
            </w:r>
            <w:r>
              <w:rPr>
                <w:rFonts w:ascii="Arial" w:hAnsi="Arial" w:cs="Arial" w:eastAsia="Arial"/>
                <w:i/>
                <w:iCs/>
                <w:sz w:val="22"/>
                <w:szCs w:val="22"/>
                <w:lang w:val="es-EC"/>
              </w:rPr>
              <w:t xml:space="preserve">ayni</w:t>
            </w:r>
            <w:r>
              <w:rPr>
                <w:rFonts w:ascii="Arial" w:hAnsi="Arial" w:cs="Arial" w:eastAsia="Arial"/>
                <w:sz w:val="22"/>
                <w:szCs w:val="22"/>
                <w:lang w:val="es-EC"/>
              </w:rPr>
              <w:t xml:space="preserve"> y la </w:t>
            </w:r>
            <w:r>
              <w:rPr>
                <w:rFonts w:ascii="Arial" w:hAnsi="Arial" w:cs="Arial" w:eastAsia="Arial"/>
                <w:i/>
                <w:iCs/>
                <w:sz w:val="22"/>
                <w:szCs w:val="22"/>
                <w:lang w:val="es-EC"/>
              </w:rPr>
              <w:t xml:space="preserve">minga</w:t>
            </w:r>
            <w:r>
              <w:rPr>
                <w:rFonts w:ascii="Arial" w:hAnsi="Arial" w:cs="Arial" w:eastAsia="Arial"/>
                <w:sz w:val="22"/>
                <w:szCs w:val="22"/>
                <w:lang w:val="es-EC"/>
              </w:rPr>
              <w:t xml:space="preserve"> en la siembra y la cosecha, las fiestas del </w:t>
            </w:r>
            <w:r>
              <w:rPr>
                <w:rFonts w:ascii="Arial" w:hAnsi="Arial" w:cs="Arial" w:eastAsia="Arial"/>
                <w:i/>
                <w:iCs/>
                <w:sz w:val="22"/>
                <w:szCs w:val="22"/>
                <w:lang w:val="es-EC"/>
              </w:rPr>
              <w:t xml:space="preserve">Pawkar Raymi</w:t>
            </w:r>
            <w:r>
              <w:rPr>
                <w:rFonts w:ascii="Arial" w:hAnsi="Arial" w:cs="Arial" w:eastAsia="Arial"/>
                <w:sz w:val="22"/>
                <w:szCs w:val="22"/>
                <w:lang w:val="es-EC"/>
              </w:rPr>
              <w:t xml:space="preserve"> y el </w:t>
            </w:r>
            <w:r>
              <w:rPr>
                <w:rFonts w:ascii="Arial" w:hAnsi="Arial" w:cs="Arial" w:eastAsia="Arial"/>
                <w:i/>
                <w:iCs/>
                <w:sz w:val="22"/>
                <w:szCs w:val="22"/>
                <w:lang w:val="es-EC"/>
              </w:rPr>
              <w:t xml:space="preserve">Inti Raymi</w:t>
            </w:r>
            <w:r>
              <w:rPr>
                <w:rFonts w:ascii="Arial" w:hAnsi="Arial" w:cs="Arial" w:eastAsia="Arial"/>
                <w:sz w:val="22"/>
                <w:szCs w:val="22"/>
                <w:lang w:val="es-EC"/>
              </w:rPr>
              <w:t xml:space="preserve">, la Declaración </w:t>
            </w:r>
            <w:r>
              <w:rPr>
                <w:rFonts w:ascii="Arial" w:hAnsi="Arial" w:cs="Arial" w:eastAsia="Arial"/>
                <w:i/>
                <w:iCs/>
                <w:sz w:val="22"/>
                <w:szCs w:val="22"/>
                <w:lang w:val="es-EC"/>
              </w:rPr>
              <w:t xml:space="preserve">Kawsak Sacha</w:t>
            </w:r>
            <w:r>
              <w:rPr>
                <w:rFonts w:ascii="Arial" w:hAnsi="Arial" w:cs="Arial" w:eastAsia="Arial"/>
                <w:sz w:val="22"/>
                <w:szCs w:val="22"/>
                <w:lang w:val="es-EC"/>
              </w:rPr>
              <w:t xml:space="preserve"> de Sarayaku, la chacra familiar y el </w:t>
            </w:r>
            <w:r>
              <w:rPr>
                <w:rFonts w:ascii="Arial" w:hAnsi="Arial" w:cs="Arial" w:eastAsia="Arial"/>
                <w:i/>
                <w:iCs/>
                <w:sz w:val="22"/>
                <w:szCs w:val="22"/>
                <w:lang w:val="es-EC"/>
              </w:rPr>
              <w:t xml:space="preserve">wayusa upina</w:t>
            </w:r>
            <w:r>
              <w:rPr>
                <w:rFonts w:ascii="Arial" w:hAnsi="Arial" w:cs="Arial" w:eastAsia="Arial"/>
                <w:sz w:val="22"/>
                <w:szCs w:val="22"/>
                <w:lang w:val="es-EC"/>
              </w:rPr>
              <w:t xml:space="preserve">. Las fuentes académicas citadas respaldan la cosmovisión andina, vista desde el </w:t>
            </w:r>
            <w:r>
              <w:rPr>
                <w:rFonts w:ascii="Arial" w:hAnsi="Arial" w:cs="Arial" w:eastAsia="Arial"/>
                <w:i/>
                <w:iCs/>
                <w:sz w:val="22"/>
                <w:szCs w:val="22"/>
                <w:lang w:val="es-EC"/>
              </w:rPr>
              <w:t xml:space="preserve">sumak kawsay</w:t>
            </w:r>
            <w:r>
              <w:rPr>
                <w:rFonts w:ascii="Arial" w:hAnsi="Arial" w:cs="Arial" w:eastAsia="Arial"/>
                <w:sz w:val="22"/>
                <w:szCs w:val="22"/>
                <w:lang w:val="es-EC"/>
              </w:rPr>
              <w:t xml:space="preserve"> (Piñeiro Aguiar &amp; Polo Blanco, 2021), y la amazónica, vista desde la chacra o </w:t>
            </w:r>
            <w:r>
              <w:rPr>
                <w:rFonts w:ascii="Arial" w:hAnsi="Arial" w:cs="Arial" w:eastAsia="Arial"/>
                <w:i/>
                <w:iCs/>
                <w:sz w:val="22"/>
                <w:szCs w:val="22"/>
                <w:lang w:val="es-EC"/>
              </w:rPr>
              <w:t xml:space="preserve">chakra</w:t>
            </w:r>
            <w:r>
              <w:rPr>
                <w:rFonts w:ascii="Arial" w:hAnsi="Arial" w:cs="Arial" w:eastAsia="Arial"/>
                <w:sz w:val="22"/>
                <w:szCs w:val="22"/>
                <w:lang w:val="es-EC"/>
              </w:rPr>
              <w:t xml:space="preserve"> kichwa (Echezuría Fernández, 2023).</w:t>
            </w:r>
          </w:p>
          <w:p>
            <w:pPr>
              <w:keepNext/>
              <w:spacing w:before="0" w:after="0" w:line="480" w:lineRule="auto"/>
              <w:ind w:left="0" w:firstLine="0"/>
              <w:jc w:val="left"/>
            </w:pPr>
            <w:r>
              <w:rPr>
                <w:rFonts w:ascii="Arial" w:hAnsi="Arial" w:cs="Arial" w:eastAsia="Arial"/>
                <w:b/>
                <w:bCs/>
                <w:sz w:val="22"/>
                <w:szCs w:val="22"/>
                <w:lang w:val="es-EC"/>
              </w:rPr>
              <w:t xml:space="preserve">Actividad 2. Análisis de caso real sobre diálogo intercultural</w:t>
            </w:r>
          </w:p>
          <w:p>
            <w:pPr>
              <w:keepNext/>
              <w:spacing w:before="0" w:after="0" w:line="480" w:lineRule="auto"/>
              <w:ind w:left="0" w:firstLine="0"/>
              <w:jc w:val="left"/>
            </w:pPr>
            <w:r>
              <w:rPr>
                <w:rFonts w:ascii="Arial" w:hAnsi="Arial" w:cs="Arial" w:eastAsia="Arial"/>
                <w:b/>
                <w:bCs/>
                <w:sz w:val="22"/>
                <w:szCs w:val="22"/>
                <w:lang w:val="es-EC"/>
              </w:rPr>
              <w:t xml:space="preserve">Título del caso y año</w:t>
            </w:r>
          </w:p>
          <w:p>
            <w:pPr>
              <w:spacing w:before="0" w:after="0" w:line="480" w:lineRule="auto"/>
              <w:ind w:left="0" w:firstLine="720"/>
              <w:jc w:val="left"/>
            </w:pPr>
            <w:r>
              <w:rPr>
                <w:rFonts w:ascii="Arial" w:hAnsi="Arial" w:cs="Arial" w:eastAsia="Arial"/>
                <w:sz w:val="22"/>
                <w:szCs w:val="22"/>
                <w:lang w:val="es-EC"/>
              </w:rPr>
              <w:t xml:space="preserve">Diálogo entre el Gobierno nacional y las organizaciones indígenas tras el paro nacional de 2022 (Ecuador).</w:t>
            </w:r>
          </w:p>
          <w:p>
            <w:pPr>
              <w:keepNext/>
              <w:spacing w:before="0" w:after="0" w:line="480" w:lineRule="auto"/>
              <w:ind w:left="0" w:firstLine="0"/>
              <w:jc w:val="left"/>
            </w:pPr>
            <w:r>
              <w:rPr>
                <w:rFonts w:ascii="Arial" w:hAnsi="Arial" w:cs="Arial" w:eastAsia="Arial"/>
                <w:b/>
                <w:bCs/>
                <w:sz w:val="22"/>
                <w:szCs w:val="22"/>
                <w:lang w:val="es-EC"/>
              </w:rPr>
              <w:t xml:space="preserve">Contexto</w:t>
            </w:r>
          </w:p>
          <w:p>
            <w:pPr>
              <w:spacing w:before="0" w:after="0" w:line="480" w:lineRule="auto"/>
              <w:ind w:left="0" w:firstLine="720"/>
              <w:jc w:val="left"/>
            </w:pPr>
            <w:r>
              <w:rPr>
                <w:rFonts w:ascii="Arial" w:hAnsi="Arial" w:cs="Arial" w:eastAsia="Arial"/>
                <w:sz w:val="22"/>
                <w:szCs w:val="22"/>
                <w:lang w:val="es-EC"/>
              </w:rPr>
              <w:t xml:space="preserve">El paro nacional de junio de 2022, convocado principalmente por la CONAIE, duró 18 días y terminó el 30 de junio con la firma del Acta por la Paz en Quito (Ministerio de Relaciones Exteriores y Movilidad Humana, 2022). Las movilizaciones indígenas tienen antecedentes en el levantamiento de 1990 y en el paro de octubre de 2019. Las demandas se vincularon con el precio de los combustibles y con las políticas extractivas, como muestran los compromisos del acta: reducir el precio de los combustibles, derogar el decreto 95 (política petrolera) y reformar el decreto 151 para prohibir la minería en áreas protegidas (Ministerio de Relaciones Exteriores y Movilidad Humana, 2022).</w:t>
            </w:r>
          </w:p>
          <w:p>
            <w:pPr>
              <w:keepNext/>
              <w:spacing w:before="0" w:after="0" w:line="480" w:lineRule="auto"/>
              <w:ind w:left="0" w:firstLine="0"/>
              <w:jc w:val="left"/>
            </w:pPr>
            <w:r>
              <w:rPr>
                <w:rFonts w:ascii="Arial" w:hAnsi="Arial" w:cs="Arial" w:eastAsia="Arial"/>
                <w:b/>
                <w:bCs/>
                <w:sz w:val="22"/>
                <w:szCs w:val="22"/>
                <w:lang w:val="es-EC"/>
              </w:rPr>
              <w:t xml:space="preserve">Actores involucrados</w:t>
            </w:r>
          </w:p>
          <w:p>
            <w:pPr>
              <w:spacing w:before="0" w:after="0" w:line="480" w:lineRule="auto"/>
              <w:ind w:left="0" w:firstLine="720"/>
              <w:jc w:val="left"/>
            </w:pPr>
            <w:r>
              <w:rPr>
                <w:rFonts w:ascii="Arial" w:hAnsi="Arial" w:cs="Arial" w:eastAsia="Arial"/>
                <w:sz w:val="22"/>
                <w:szCs w:val="22"/>
                <w:lang w:val="es-EC"/>
              </w:rPr>
              <w:t xml:space="preserve">Por el movimiento indígena participaron la CONAIE, la FEINE y la FENOCIN, representadas por sus presidentes; por el Estado, el Gobierno nacional; y como mediadora, la Conferencia Episcopal Ecuatoriana (Ministerio de Relaciones Exteriores y Movilidad Humana, 2022). La publicación </w:t>
            </w:r>
            <w:r>
              <w:rPr>
                <w:rFonts w:ascii="Arial" w:hAnsi="Arial" w:cs="Arial" w:eastAsia="Arial"/>
                <w:i/>
                <w:iCs/>
                <w:sz w:val="22"/>
                <w:szCs w:val="22"/>
                <w:lang w:val="es-EC"/>
              </w:rPr>
              <w:t xml:space="preserve">Diálogos para la paz</w:t>
            </w:r>
            <w:r>
              <w:rPr>
                <w:rFonts w:ascii="Arial" w:hAnsi="Arial" w:cs="Arial" w:eastAsia="Arial"/>
                <w:sz w:val="22"/>
                <w:szCs w:val="22"/>
                <w:lang w:val="es-EC"/>
              </w:rPr>
              <w:t xml:space="preserve"> fue elaborada por universidades y la cooperación alemana GIZ para reflexionar sobre este proceso (Barrera et al., 2024).</w:t>
            </w:r>
          </w:p>
          <w:p>
            <w:pPr>
              <w:keepNext/>
              <w:spacing w:before="0" w:after="0" w:line="480" w:lineRule="auto"/>
              <w:ind w:left="0" w:firstLine="0"/>
              <w:jc w:val="left"/>
            </w:pPr>
            <w:r>
              <w:rPr>
                <w:rFonts w:ascii="Arial" w:hAnsi="Arial" w:cs="Arial" w:eastAsia="Arial"/>
                <w:b/>
                <w:bCs/>
                <w:sz w:val="22"/>
                <w:szCs w:val="22"/>
                <w:lang w:val="es-EC"/>
              </w:rPr>
              <w:t xml:space="preserve">Estrategias aplicadas</w:t>
            </w:r>
          </w:p>
          <w:p>
            <w:pPr>
              <w:spacing w:before="0" w:after="0" w:line="480" w:lineRule="auto"/>
              <w:ind w:left="0" w:firstLine="720"/>
              <w:jc w:val="left"/>
            </w:pPr>
            <w:r>
              <w:rPr>
                <w:rFonts w:ascii="Arial" w:hAnsi="Arial" w:cs="Arial" w:eastAsia="Arial"/>
                <w:sz w:val="22"/>
                <w:szCs w:val="22"/>
                <w:lang w:val="es-EC"/>
              </w:rPr>
              <w:t xml:space="preserve">Primero se firmó un acta con compromisos previos: el Gobierno aceptó reducir el precio de los combustibles y modificar los decretos 95 y 151, y las organizaciones indígenas suspendieron las movilizaciones. Además, se acordó instalar mesas de diálogo por 90 días con mediación de la Conferencia Episcopal (Ministerio de Relaciones Exteriores y Movilidad Humana, 2022). Se organizaron diez mesas temáticas: desarrollo productivo, control de precios, banca pública y privada, energía y recursos naturales, seguridad y justicia, acceso a la salud, educación superior, derechos colectivos, empleo y derechos laborales, y focalización del subsidio a los combustibles (Teleamazonas, s. f.). La participación comunitaria se dio por medio de organizaciones representativas, y la agenda incluyó temas propios de los pueblos indígenas, como los derechos colectivos y la educación intercultural bilingüe.</w:t>
            </w:r>
          </w:p>
          <w:p>
            <w:pPr>
              <w:keepNext/>
              <w:spacing w:before="0" w:after="0" w:line="480" w:lineRule="auto"/>
              <w:ind w:left="0" w:firstLine="0"/>
              <w:jc w:val="left"/>
            </w:pPr>
            <w:r>
              <w:rPr>
                <w:rFonts w:ascii="Arial" w:hAnsi="Arial" w:cs="Arial" w:eastAsia="Arial"/>
                <w:b/>
                <w:bCs/>
                <w:sz w:val="22"/>
                <w:szCs w:val="22"/>
                <w:lang w:val="es-EC"/>
              </w:rPr>
              <w:t xml:space="preserve">Resultados obtenidos</w:t>
            </w:r>
          </w:p>
          <w:p>
            <w:pPr>
              <w:spacing w:before="0" w:after="0" w:line="480" w:lineRule="auto"/>
              <w:ind w:left="0" w:firstLine="720"/>
              <w:jc w:val="left"/>
            </w:pPr>
            <w:r>
              <w:rPr>
                <w:rFonts w:ascii="Arial" w:hAnsi="Arial" w:cs="Arial" w:eastAsia="Arial"/>
                <w:sz w:val="22"/>
                <w:szCs w:val="22"/>
                <w:lang w:val="es-EC"/>
              </w:rPr>
              <w:t xml:space="preserve">Las mesas se cerraron el 14 de octubre de 2022 en el Centro Cultural de la PUCE, en Quito, con aproximadamente 220 acuerdos (Teleamazonas, s. f.). En educación se acordó dar autonomía a la Secretaría de Educación Intercultural Bilingüe y crear un Consejo Plurinacional Bilingüe. También se planteó incluir un criterio de interculturalidad en la evaluación de las instituciones de educación superior (Teleamazonas, s. f.). Como lección, el caso muestra que un conflicto de gran escala puede encauzarse mediante el diálogo con reglas, plazos y mediación.</w:t>
            </w:r>
          </w:p>
          <w:p>
            <w:pPr>
              <w:keepNext/>
              <w:spacing w:before="0" w:after="0" w:line="480" w:lineRule="auto"/>
              <w:ind w:left="0" w:firstLine="0"/>
              <w:jc w:val="left"/>
            </w:pPr>
            <w:r>
              <w:rPr>
                <w:rFonts w:ascii="Arial" w:hAnsi="Arial" w:cs="Arial" w:eastAsia="Arial"/>
                <w:b/>
                <w:bCs/>
                <w:sz w:val="22"/>
                <w:szCs w:val="22"/>
                <w:lang w:val="es-EC"/>
              </w:rPr>
              <w:t xml:space="preserve">Análisis crítico</w:t>
            </w:r>
          </w:p>
          <w:p>
            <w:pPr>
              <w:spacing w:before="0" w:after="0" w:line="480" w:lineRule="auto"/>
              <w:ind w:left="0" w:firstLine="720"/>
              <w:jc w:val="left"/>
            </w:pPr>
            <w:r>
              <w:rPr>
                <w:rFonts w:ascii="Arial" w:hAnsi="Arial" w:cs="Arial" w:eastAsia="Arial"/>
                <w:sz w:val="22"/>
                <w:szCs w:val="22"/>
                <w:lang w:val="es-EC"/>
              </w:rPr>
              <w:t xml:space="preserve">El diálogo fue efectivo en lo inmediato porque puso fin al paro, evitó que el conflicto continuara y llevó los reclamos a una mesa con reglas y tiempos definidos. También tuvo un valor intercultural, pues reconoció a las organizaciones indígenas como interlocutoras y puso en la agenda temas como los derechos colectivos y la educación intercultural bilingüe, lo que se relaciona con la definición del Estado como intercultural y plurinacional (Asamblea Nacional del Ecuador, 2008). Sin embargo, firmar acuerdos no garantiza su cumplimiento: el mayor reto es el seguimiento y que el diálogo se mantenga después de la crisis. Para la convivencia armónica, el caso muestra que el </w:t>
            </w:r>
            <w:r>
              <w:rPr>
                <w:rFonts w:ascii="Arial" w:hAnsi="Arial" w:cs="Arial" w:eastAsia="Arial"/>
                <w:i/>
                <w:iCs/>
                <w:sz w:val="22"/>
                <w:szCs w:val="22"/>
                <w:lang w:val="es-EC"/>
              </w:rPr>
              <w:t xml:space="preserve">sumak kawsay</w:t>
            </w:r>
            <w:r>
              <w:rPr>
                <w:rFonts w:ascii="Arial" w:hAnsi="Arial" w:cs="Arial" w:eastAsia="Arial"/>
                <w:sz w:val="22"/>
                <w:szCs w:val="22"/>
                <w:lang w:val="es-EC"/>
              </w:rPr>
              <w:t xml:space="preserve"> exige reconocer la diversidad de saberes y de formas de vida, y escuchar a todos los actores antes de tomar decisiones que afectan al territorio.</w:t>
            </w:r>
          </w:p>
        </w:tc>
      </w:tr>
      <w:tr w:rsidR="00F64869" w:rsidRPr="00393830" w14:paraId="1B0E2782" w14:textId="77777777" w:rsidTr="00C44AC0">
        <w:tblPrEx>
          <w:tblCellMar>
            <w:left w:w="108" w:type="dxa"/>
            <w:right w:w="108" w:type="dxa"/>
          </w:tblCellMar>
          <w:tblLook w:val="04A0" w:firstRow="1" w:lastRow="0" w:firstColumn="1" w:lastColumn="0" w:noHBand="0" w:noVBand="1"/>
        </w:tblPrEx>
        <w:trPr>
          <w:trHeight w:val="871"/>
          <w:jc w:val="center"/>
        </w:trPr>
        <w:tc>
          <w:tcPr>
            <w:tcW w:w="1838" w:type="dxa"/>
            <w:shd w:val="clear" w:color="auto" w:fill="auto"/>
            <w:vAlign w:val="center"/>
          </w:tcPr>
          <w:p w14:paraId="13AD38BA" w14:textId="77777777" w:rsidR="00F64869" w:rsidRPr="00C44AC0" w:rsidRDefault="00F64869" w:rsidP="00AD688C">
            <w:pPr>
              <w:spacing w:after="0" w:line="240" w:lineRule="auto"/>
              <w:rPr>
                <w:rFonts w:cs="Arial"/>
                <w:b/>
                <w:sz w:val="20"/>
                <w:szCs w:val="20"/>
              </w:rPr>
            </w:pPr>
            <w:proofErr w:type="spellStart"/>
            <w:r w:rsidRPr="00C44AC0">
              <w:rPr>
                <w:rFonts w:cs="Arial"/>
                <w:b/>
                <w:sz w:val="20"/>
                <w:szCs w:val="20"/>
              </w:rPr>
              <w:t>Conclusiones</w:t>
            </w:r>
            <w:proofErr w:type="spellEnd"/>
          </w:p>
        </w:tc>
        <w:tc>
          <w:tcPr>
            <w:tcW w:w="7944" w:type="dxa"/>
            <w:gridSpan w:val="2"/>
            <w:shd w:val="clear" w:color="auto" w:fill="auto"/>
            <w:vAlign w:val="center"/>
          </w:tcPr>
          <w:p>
            <w:pPr>
              <w:spacing w:before="0" w:after="0" w:line="480" w:lineRule="auto"/>
              <w:ind w:left="0" w:firstLine="720"/>
              <w:jc w:val="left"/>
            </w:pPr>
            <w:r>
              <w:rPr>
                <w:rFonts w:ascii="Arial" w:hAnsi="Arial" w:cs="Arial" w:eastAsia="Arial"/>
                <w:sz w:val="22"/>
                <w:szCs w:val="22"/>
                <w:lang w:val="es-EC"/>
              </w:rPr>
              <w:t xml:space="preserve">La comparación entre las cosmovisiones andina y amazónica muestra que ambas entienden la naturaleza como algo vivo y sagrado y que comparten la reciprocidad, el trabajo colectivo y el vínculo con el territorio. Sus diferencias se explican sobre todo por el entorno, los seres sagrados, las formas de producción, el calendario ritual y el tipo de territorio.</w:t>
            </w:r>
          </w:p>
          <w:p>
            <w:pPr>
              <w:spacing w:before="0" w:after="0" w:line="480" w:lineRule="auto"/>
              <w:ind w:left="0" w:firstLine="720"/>
              <w:jc w:val="left"/>
            </w:pPr>
            <w:r>
              <w:rPr>
                <w:rFonts w:ascii="Arial" w:hAnsi="Arial" w:cs="Arial" w:eastAsia="Arial"/>
                <w:sz w:val="22"/>
                <w:szCs w:val="22"/>
                <w:lang w:val="es-EC"/>
              </w:rPr>
              <w:t xml:space="preserve">El análisis del diálogo tras el paro nacional de 2022 permitió ver que el diálogo intercultural, con mediación, reglas y participación de las organizaciones indígenas, es una vía eficaz para gestionar conflictos sociales y ambientales, aunque su verdadero resultado depende del cumplimiento de los acuerdos.</w:t>
            </w:r>
          </w:p>
          <w:p>
            <w:pPr>
              <w:spacing w:before="0" w:after="0" w:line="480" w:lineRule="auto"/>
              <w:ind w:left="0" w:firstLine="720"/>
              <w:jc w:val="left"/>
            </w:pPr>
            <w:r>
              <w:rPr>
                <w:rFonts w:ascii="Arial" w:hAnsi="Arial" w:cs="Arial" w:eastAsia="Arial"/>
                <w:sz w:val="22"/>
                <w:szCs w:val="22"/>
                <w:lang w:val="es-EC"/>
              </w:rPr>
              <w:t xml:space="preserve">Con esta práctica se comprende mejor el aporte de los saberes ancestrales de los pueblos y nacionalidades indígenas del Ecuador, de su cosmovisión y de sus prácticas culturales al diálogo intercultural, para la construcción de una sociedad plurinacional e intercultural, como plantea el Resultado de Aprendizaje II de la asignatura.</w:t>
            </w:r>
          </w:p>
        </w:tc>
      </w:tr>
      <w:tr w:rsidR="00F64869" w:rsidRPr="00393830" w14:paraId="78FD4C7E"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090E743B" w14:textId="77777777" w:rsidR="00F64869" w:rsidRPr="00C44AC0" w:rsidRDefault="00F64869" w:rsidP="00AD688C">
            <w:pPr>
              <w:spacing w:after="0" w:line="240" w:lineRule="auto"/>
              <w:rPr>
                <w:rFonts w:cs="Arial"/>
                <w:b/>
                <w:sz w:val="20"/>
                <w:szCs w:val="20"/>
              </w:rPr>
            </w:pPr>
            <w:proofErr w:type="spellStart"/>
            <w:r w:rsidRPr="00C44AC0">
              <w:rPr>
                <w:rFonts w:cs="Arial"/>
                <w:b/>
                <w:sz w:val="20"/>
                <w:szCs w:val="20"/>
              </w:rPr>
              <w:t>Bibliografía</w:t>
            </w:r>
            <w:proofErr w:type="spellEnd"/>
          </w:p>
        </w:tc>
        <w:tc>
          <w:tcPr>
            <w:tcW w:w="7944" w:type="dxa"/>
            <w:gridSpan w:val="2"/>
            <w:shd w:val="clear" w:color="auto" w:fill="auto"/>
            <w:vAlign w:val="center"/>
          </w:tcPr>
          <w:p>
            <w:pPr>
              <w:spacing w:before="0" w:after="0" w:line="480" w:lineRule="auto"/>
              <w:ind w:left="720" w:hanging="720"/>
              <w:jc w:val="left"/>
            </w:pPr>
            <w:r>
              <w:rPr>
                <w:rFonts w:ascii="Arial" w:hAnsi="Arial" w:cs="Arial" w:eastAsia="Arial"/>
                <w:sz w:val="22"/>
                <w:szCs w:val="22"/>
                <w:lang w:val="es-EC"/>
              </w:rPr>
              <w:t xml:space="preserve">Asamblea Nacional del Ecuador. (2008). </w:t>
            </w:r>
            <w:r>
              <w:rPr>
                <w:rFonts w:ascii="Arial" w:hAnsi="Arial" w:cs="Arial" w:eastAsia="Arial"/>
                <w:i/>
                <w:iCs/>
                <w:sz w:val="22"/>
                <w:szCs w:val="22"/>
                <w:lang w:val="es-EC"/>
              </w:rPr>
              <w:t xml:space="preserve">Constitución de la República del Ecuador</w:t>
            </w:r>
            <w:r>
              <w:rPr>
                <w:rFonts w:ascii="Arial" w:hAnsi="Arial" w:cs="Arial" w:eastAsia="Arial"/>
                <w:sz w:val="22"/>
                <w:szCs w:val="22"/>
                <w:lang w:val="es-EC"/>
              </w:rPr>
              <w:t xml:space="preserve">. https://www.asambleanacional.gob.ec/es/noticia/constitucion_2008_una_esperanza_de_cambio_y_reivindicacion_de_derechos</w:t>
            </w:r>
          </w:p>
          <w:p>
            <w:pPr>
              <w:spacing w:before="0" w:after="0" w:line="480" w:lineRule="auto"/>
              <w:ind w:left="720" w:hanging="720"/>
              <w:jc w:val="left"/>
            </w:pPr>
            <w:r>
              <w:rPr>
                <w:rFonts w:ascii="Arial" w:hAnsi="Arial" w:cs="Arial" w:eastAsia="Arial"/>
                <w:sz w:val="22"/>
                <w:szCs w:val="22"/>
                <w:lang w:val="es-EC"/>
              </w:rPr>
              <w:t xml:space="preserve">Barrera, A., Espín, M. A., Granda Merchán, S., &amp; Oetzel, R. (Coords.). (2024). </w:t>
            </w:r>
            <w:r>
              <w:rPr>
                <w:rFonts w:ascii="Arial" w:hAnsi="Arial" w:cs="Arial" w:eastAsia="Arial"/>
                <w:i/>
                <w:iCs/>
                <w:sz w:val="22"/>
                <w:szCs w:val="22"/>
                <w:lang w:val="es-EC"/>
              </w:rPr>
              <w:t xml:space="preserve">Diálogos para la paz: miradas desde la diversidad</w:t>
            </w:r>
            <w:r>
              <w:rPr>
                <w:rFonts w:ascii="Arial" w:hAnsi="Arial" w:cs="Arial" w:eastAsia="Arial"/>
                <w:sz w:val="22"/>
                <w:szCs w:val="22"/>
                <w:lang w:val="es-EC"/>
              </w:rPr>
              <w:t xml:space="preserve">. Editorial Universitaria Abya-Yala. https://dspace.ups.edu.ec/handle/123456789/29221</w:t>
            </w:r>
          </w:p>
          <w:p>
            <w:pPr>
              <w:spacing w:before="0" w:after="0" w:line="480" w:lineRule="auto"/>
              <w:ind w:left="720" w:hanging="720"/>
              <w:jc w:val="left"/>
            </w:pPr>
            <w:r>
              <w:rPr>
                <w:rFonts w:ascii="Arial" w:hAnsi="Arial" w:cs="Arial" w:eastAsia="Arial"/>
                <w:sz w:val="22"/>
                <w:szCs w:val="22"/>
                <w:lang w:val="es-EC"/>
              </w:rPr>
              <w:t xml:space="preserve">Echezuría Fernández, C. (2023). Cosmovisión kichwa, sistemas agroforestales y alternativas sustentables para la Amazonía. La experiencia del Grupo chakra en Archidona, Ecuador. </w:t>
            </w:r>
            <w:r>
              <w:rPr>
                <w:rFonts w:ascii="Arial" w:hAnsi="Arial" w:cs="Arial" w:eastAsia="Arial"/>
                <w:i/>
                <w:iCs/>
                <w:sz w:val="22"/>
                <w:szCs w:val="22"/>
                <w:lang w:val="es-EC"/>
              </w:rPr>
              <w:t xml:space="preserve">Entorno Geográfico</w:t>
            </w:r>
            <w:r>
              <w:rPr>
                <w:rFonts w:ascii="Arial" w:hAnsi="Arial" w:cs="Arial" w:eastAsia="Arial"/>
                <w:sz w:val="22"/>
                <w:szCs w:val="22"/>
                <w:lang w:val="es-EC"/>
              </w:rPr>
              <w:t xml:space="preserve">, (25), e21912613. https://doi.org/10.25100/eg.v0i25.12613</w:t>
            </w:r>
          </w:p>
          <w:p>
            <w:pPr>
              <w:spacing w:before="0" w:after="0" w:line="480" w:lineRule="auto"/>
              <w:ind w:left="720" w:hanging="720"/>
              <w:jc w:val="left"/>
            </w:pPr>
            <w:r>
              <w:rPr>
                <w:rFonts w:ascii="Arial" w:hAnsi="Arial" w:cs="Arial" w:eastAsia="Arial"/>
                <w:sz w:val="22"/>
                <w:szCs w:val="22"/>
                <w:lang w:val="es-EC"/>
              </w:rPr>
              <w:t xml:space="preserve">El Comercio. (s. f.). </w:t>
            </w:r>
            <w:r>
              <w:rPr>
                <w:rFonts w:ascii="Arial" w:hAnsi="Arial" w:cs="Arial" w:eastAsia="Arial"/>
                <w:i/>
                <w:iCs/>
                <w:sz w:val="22"/>
                <w:szCs w:val="22"/>
                <w:lang w:val="es-EC"/>
              </w:rPr>
              <w:t xml:space="preserve">‘Kawsak Sacha’: propuesta Sarayaku que da derechos a la naturaleza</w:t>
            </w:r>
            <w:r>
              <w:rPr>
                <w:rFonts w:ascii="Arial" w:hAnsi="Arial" w:cs="Arial" w:eastAsia="Arial"/>
                <w:sz w:val="22"/>
                <w:szCs w:val="22"/>
                <w:lang w:val="es-EC"/>
              </w:rPr>
              <w:t xml:space="preserve">. https://www.elcomercio.com/actualidad/ecuador/kawsak-sacha-propuesta-sarayaku-da-derechos-naturaleza.html</w:t>
            </w:r>
          </w:p>
          <w:p>
            <w:pPr>
              <w:spacing w:before="0" w:after="0" w:line="480" w:lineRule="auto"/>
              <w:ind w:left="720" w:hanging="720"/>
              <w:jc w:val="left"/>
            </w:pPr>
            <w:r>
              <w:rPr>
                <w:rFonts w:ascii="Arial" w:hAnsi="Arial" w:cs="Arial" w:eastAsia="Arial"/>
                <w:sz w:val="22"/>
                <w:szCs w:val="22"/>
                <w:lang w:val="es-EC"/>
              </w:rPr>
              <w:t xml:space="preserve">Ministerio de Relaciones Exteriores y Movilidad Humana. (2022, 30 de junio). </w:t>
            </w:r>
            <w:r>
              <w:rPr>
                <w:rFonts w:ascii="Arial" w:hAnsi="Arial" w:cs="Arial" w:eastAsia="Arial"/>
                <w:i/>
                <w:iCs/>
                <w:sz w:val="22"/>
                <w:szCs w:val="22"/>
                <w:lang w:val="es-EC"/>
              </w:rPr>
              <w:t xml:space="preserve">Gobierno y movimientos indígenas firman acuerdo que pone fin al paro en Ecuador</w:t>
            </w:r>
            <w:r>
              <w:rPr>
                <w:rFonts w:ascii="Arial" w:hAnsi="Arial" w:cs="Arial" w:eastAsia="Arial"/>
                <w:sz w:val="22"/>
                <w:szCs w:val="22"/>
                <w:lang w:val="es-EC"/>
              </w:rPr>
              <w:t xml:space="preserve">. https://www.cancilleria.gob.ec/2022/06/30/gobierno-y-movimientos-indigenas-firman-acuerdo-que-pone-fin-al-paro-en-ecuador/</w:t>
            </w:r>
          </w:p>
          <w:p>
            <w:pPr>
              <w:spacing w:before="0" w:after="0" w:line="480" w:lineRule="auto"/>
              <w:ind w:left="720" w:hanging="720"/>
              <w:jc w:val="left"/>
            </w:pPr>
            <w:r>
              <w:rPr>
                <w:rFonts w:ascii="Arial" w:hAnsi="Arial" w:cs="Arial" w:eastAsia="Arial"/>
                <w:sz w:val="22"/>
                <w:szCs w:val="22"/>
                <w:lang w:val="es-EC"/>
              </w:rPr>
              <w:t xml:space="preserve">Piñeiro Aguiar, E., &amp; Polo Blanco, J. (2021). El sumak kawsay andino como resistencia sociopolítica y como desafío epistémico. </w:t>
            </w:r>
            <w:r>
              <w:rPr>
                <w:rFonts w:ascii="Arial" w:hAnsi="Arial" w:cs="Arial" w:eastAsia="Arial"/>
                <w:i/>
                <w:iCs/>
                <w:sz w:val="22"/>
                <w:szCs w:val="22"/>
                <w:lang w:val="es-EC"/>
              </w:rPr>
              <w:t xml:space="preserve">Athenea Digital</w:t>
            </w:r>
            <w:r>
              <w:rPr>
                <w:rFonts w:ascii="Arial" w:hAnsi="Arial" w:cs="Arial" w:eastAsia="Arial"/>
                <w:sz w:val="22"/>
                <w:szCs w:val="22"/>
                <w:lang w:val="es-EC"/>
              </w:rPr>
              <w:t xml:space="preserve">, </w:t>
            </w:r>
            <w:r>
              <w:rPr>
                <w:rFonts w:ascii="Arial" w:hAnsi="Arial" w:cs="Arial" w:eastAsia="Arial"/>
                <w:i/>
                <w:iCs/>
                <w:sz w:val="22"/>
                <w:szCs w:val="22"/>
                <w:lang w:val="es-EC"/>
              </w:rPr>
              <w:t xml:space="preserve">21</w:t>
            </w:r>
            <w:r>
              <w:rPr>
                <w:rFonts w:ascii="Arial" w:hAnsi="Arial" w:cs="Arial" w:eastAsia="Arial"/>
                <w:sz w:val="22"/>
                <w:szCs w:val="22"/>
                <w:lang w:val="es-EC"/>
              </w:rPr>
              <w:t xml:space="preserve">(3). https://atheneadigital.net/article/download/v21-3-pineiro-polo/2967-pdf-es</w:t>
            </w:r>
          </w:p>
          <w:p>
            <w:pPr>
              <w:spacing w:before="0" w:after="0" w:line="480" w:lineRule="auto"/>
              <w:ind w:left="720" w:hanging="720"/>
              <w:jc w:val="left"/>
            </w:pPr>
            <w:r>
              <w:rPr>
                <w:rFonts w:ascii="Arial" w:hAnsi="Arial" w:cs="Arial" w:eastAsia="Arial"/>
                <w:sz w:val="22"/>
                <w:szCs w:val="22"/>
                <w:lang w:val="es-EC"/>
              </w:rPr>
              <w:t xml:space="preserve">Teleamazonas. (s. f.). </w:t>
            </w:r>
            <w:r>
              <w:rPr>
                <w:rFonts w:ascii="Arial" w:hAnsi="Arial" w:cs="Arial" w:eastAsia="Arial"/>
                <w:i/>
                <w:iCs/>
                <w:sz w:val="22"/>
                <w:szCs w:val="22"/>
                <w:lang w:val="es-EC"/>
              </w:rPr>
              <w:t xml:space="preserve">Concluyó proceso de diálogo entre Gobierno y sector indígena</w:t>
            </w:r>
            <w:r>
              <w:rPr>
                <w:rFonts w:ascii="Arial" w:hAnsi="Arial" w:cs="Arial" w:eastAsia="Arial"/>
                <w:sz w:val="22"/>
                <w:szCs w:val="22"/>
                <w:lang w:val="es-EC"/>
              </w:rPr>
              <w:t xml:space="preserve">. https://www.teleamazonas.com/concluyo-proceso-dialogo-entre-gobierno-sector-indigena/</w:t>
            </w:r>
          </w:p>
        </w:tc>
      </w:tr>
      <w:tr w:rsidR="00F64869" w:rsidRPr="00393830" w14:paraId="134B7545" w14:textId="77777777" w:rsidTr="00C44AC0">
        <w:tblPrEx>
          <w:tblCellMar>
            <w:left w:w="108" w:type="dxa"/>
            <w:right w:w="108" w:type="dxa"/>
          </w:tblCellMar>
          <w:tblLook w:val="04A0" w:firstRow="1" w:lastRow="0" w:firstColumn="1" w:lastColumn="0" w:noHBand="0" w:noVBand="1"/>
        </w:tblPrEx>
        <w:trPr>
          <w:trHeight w:val="816"/>
          <w:jc w:val="center"/>
        </w:trPr>
        <w:tc>
          <w:tcPr>
            <w:tcW w:w="1838" w:type="dxa"/>
            <w:shd w:val="clear" w:color="auto" w:fill="auto"/>
            <w:vAlign w:val="center"/>
          </w:tcPr>
          <w:p w14:paraId="286C83E6" w14:textId="77777777" w:rsidR="00F64869" w:rsidRPr="00C44AC0" w:rsidRDefault="00F64869" w:rsidP="00AD688C">
            <w:pPr>
              <w:spacing w:after="0" w:line="240" w:lineRule="auto"/>
              <w:rPr>
                <w:rFonts w:cs="Arial"/>
                <w:b/>
                <w:sz w:val="20"/>
                <w:szCs w:val="20"/>
              </w:rPr>
            </w:pPr>
            <w:proofErr w:type="spellStart"/>
            <w:r w:rsidRPr="00C44AC0">
              <w:rPr>
                <w:rFonts w:cs="Arial"/>
                <w:b/>
                <w:sz w:val="20"/>
                <w:szCs w:val="20"/>
              </w:rPr>
              <w:t>Anexos</w:t>
            </w:r>
            <w:proofErr w:type="spellEnd"/>
          </w:p>
        </w:tc>
        <w:tc>
          <w:tcPr>
            <w:tcW w:w="7944" w:type="dxa"/>
            <w:gridSpan w:val="2"/>
            <w:shd w:val="clear" w:color="auto" w:fill="auto"/>
            <w:vAlign w:val="center"/>
          </w:tcPr>
          <w:p>
            <w:pPr>
              <w:spacing w:before="0" w:after="0" w:line="480" w:lineRule="auto"/>
              <w:ind w:left="0" w:firstLine="720"/>
              <w:jc w:val="left"/>
            </w:pPr>
            <w:r>
              <w:rPr>
                <w:rFonts w:ascii="Arial" w:hAnsi="Arial" w:cs="Arial" w:eastAsia="Arial"/>
                <w:sz w:val="22"/>
                <w:szCs w:val="22"/>
                <w:lang w:val="es-EC"/>
              </w:rPr>
              <w:t xml:space="preserve">Anexo 1. Mapa conceptual comparativo de las cosmovisiones andina y amazónica (página siguiente al cuadro del informe).</w:t>
            </w:r>
          </w:p>
          <w:p>
            <w:pPr>
              <w:spacing w:before="0" w:after="0" w:line="480" w:lineRule="auto"/>
              <w:ind w:left="0" w:firstLine="720"/>
              <w:jc w:val="left"/>
            </w:pPr>
            <w:r>
              <w:rPr>
                <w:rFonts w:ascii="Arial" w:hAnsi="Arial" w:cs="Arial" w:eastAsia="Arial"/>
                <w:sz w:val="22"/>
                <w:szCs w:val="22"/>
                <w:lang w:val="es-EC"/>
              </w:rPr>
              <w:t xml:space="preserve">Anexo 2. Enlaces de las fuentes consultadas:</w:t>
            </w:r>
          </w:p>
          <w:p>
            <w:pPr>
              <w:spacing w:before="0" w:after="0" w:line="480" w:lineRule="auto"/>
              <w:ind w:left="720" w:hanging="360"/>
              <w:jc w:val="left"/>
            </w:pPr>
            <w:r>
              <w:rPr>
                <w:rFonts w:ascii="Arial" w:hAnsi="Arial" w:cs="Arial" w:eastAsia="Arial"/>
                <w:sz w:val="22"/>
                <w:szCs w:val="22"/>
                <w:lang w:val="es-EC"/>
              </w:rPr>
              <w:t xml:space="preserve">• Echezuría Fernández (2023): https://doi.org/10.25100/eg.v0i25.12613</w:t>
            </w:r>
          </w:p>
          <w:p>
            <w:pPr>
              <w:spacing w:before="0" w:after="0" w:line="480" w:lineRule="auto"/>
              <w:ind w:left="720" w:hanging="360"/>
              <w:jc w:val="left"/>
            </w:pPr>
            <w:r>
              <w:rPr>
                <w:rFonts w:ascii="Arial" w:hAnsi="Arial" w:cs="Arial" w:eastAsia="Arial"/>
                <w:sz w:val="22"/>
                <w:szCs w:val="22"/>
                <w:lang w:val="es-EC"/>
              </w:rPr>
              <w:t xml:space="preserve">• Piñeiro Aguiar y Polo Blanco (2021): https://atheneadigital.net/article/download/v21-3-pineiro-polo/2967-pdf-es</w:t>
            </w:r>
          </w:p>
          <w:p>
            <w:pPr>
              <w:spacing w:before="0" w:after="0" w:line="480" w:lineRule="auto"/>
              <w:ind w:left="720" w:hanging="360"/>
              <w:jc w:val="left"/>
            </w:pPr>
            <w:r>
              <w:rPr>
                <w:rFonts w:ascii="Arial" w:hAnsi="Arial" w:cs="Arial" w:eastAsia="Arial"/>
                <w:sz w:val="22"/>
                <w:szCs w:val="22"/>
                <w:lang w:val="es-EC"/>
              </w:rPr>
              <w:t xml:space="preserve">• Barrera et al. (2024): https://dspace.ups.edu.ec/handle/123456789/29221</w:t>
            </w:r>
          </w:p>
          <w:p>
            <w:pPr>
              <w:spacing w:before="0" w:after="0" w:line="480" w:lineRule="auto"/>
              <w:ind w:left="720" w:hanging="360"/>
              <w:jc w:val="left"/>
            </w:pPr>
            <w:r>
              <w:rPr>
                <w:rFonts w:ascii="Arial" w:hAnsi="Arial" w:cs="Arial" w:eastAsia="Arial"/>
                <w:sz w:val="22"/>
                <w:szCs w:val="22"/>
                <w:lang w:val="es-EC"/>
              </w:rPr>
              <w:t xml:space="preserve">• Acta por la Paz (2022): https://www.cancilleria.gob.ec/2022/06/30/gobierno-y-movimientos-indigenas-firman-acuerdo-que-pone-fin-al-paro-en-ecuador/</w:t>
            </w:r>
          </w:p>
          <w:p>
            <w:pPr>
              <w:spacing w:before="0" w:after="0" w:line="480" w:lineRule="auto"/>
              <w:ind w:left="720" w:hanging="360"/>
              <w:jc w:val="left"/>
            </w:pPr>
            <w:r>
              <w:rPr>
                <w:rFonts w:ascii="Arial" w:hAnsi="Arial" w:cs="Arial" w:eastAsia="Arial"/>
                <w:sz w:val="22"/>
                <w:szCs w:val="22"/>
                <w:lang w:val="es-EC"/>
              </w:rPr>
              <w:t xml:space="preserve">• Cierre del diálogo: https://www.teleamazonas.com/concluyo-proceso-dialogo-entre-gobierno-sector-indigena/</w:t>
            </w:r>
          </w:p>
          <w:p>
            <w:pPr>
              <w:spacing w:before="0" w:after="0" w:line="480" w:lineRule="auto"/>
              <w:ind w:left="720" w:hanging="360"/>
              <w:jc w:val="left"/>
            </w:pPr>
            <w:r>
              <w:rPr>
                <w:rFonts w:ascii="Arial" w:hAnsi="Arial" w:cs="Arial" w:eastAsia="Arial"/>
                <w:sz w:val="22"/>
                <w:szCs w:val="22"/>
                <w:lang w:val="es-EC"/>
              </w:rPr>
              <w:t xml:space="preserve">• Kawsak Sacha: https://www.elcomercio.com/actualidad/ecuador/kawsak-sacha-propuesta-sarayaku-da-derechos-naturaleza.html</w:t>
            </w:r>
          </w:p>
        </w:tc>
      </w:tr>
    </w:tbl>
    <w:p>
      <w:pPr>
        <w:keepNext/>
        <w:pageBreakBefore/>
        <w:spacing w:before="0" w:after="0" w:line="276" w:lineRule="auto"/>
        <w:ind w:left="0" w:firstLine="0"/>
        <w:jc w:val="left"/>
      </w:pPr>
      <w:r>
        <w:rPr>
          <w:rFonts w:ascii="Arial" w:hAnsi="Arial" w:cs="Arial" w:eastAsia="Arial"/>
          <w:b/>
          <w:bCs/>
          <w:sz w:val="22"/>
          <w:szCs w:val="22"/>
          <w:lang w:val="es-EC"/>
        </w:rPr>
        <w:t xml:space="preserve">Anexo 1. Mapa conceptual comparativo de las cosmovisiones andina y amazónica</w:t>
      </w:r>
    </w:p>
    <w:p>
      <w:pPr>
        <w:jc w:val="center"/>
      </w:pPr>
      <w:r>
        <w:drawing>
          <wp:inline xmlns:a="http://schemas.openxmlformats.org/drawingml/2006/main" xmlns:pic="http://schemas.openxmlformats.org/drawingml/2006/picture">
            <wp:extent cx="5472000" cy="6707613"/>
            <wp:docPr id="1" name="Picture 1"/>
            <wp:cNvGraphicFramePr>
              <a:graphicFrameLocks noChangeAspect="1"/>
            </wp:cNvGraphicFramePr>
            <a:graphic>
              <a:graphicData uri="http://schemas.openxmlformats.org/drawingml/2006/picture">
                <pic:pic>
                  <pic:nvPicPr>
                    <pic:cNvPr id="0" name="mapa_conceptual.png"/>
                    <pic:cNvPicPr/>
                  </pic:nvPicPr>
                  <pic:blipFill>
                    <a:blip r:embed="rId10"/>
                    <a:stretch>
                      <a:fillRect/>
                    </a:stretch>
                  </pic:blipFill>
                  <pic:spPr>
                    <a:xfrm>
                      <a:off x="0" y="0"/>
                      <a:ext cx="5472000" cy="6707613"/>
                    </a:xfrm>
                    <a:prstGeom prst="rect"/>
                  </pic:spPr>
                </pic:pic>
              </a:graphicData>
            </a:graphic>
          </wp:inline>
        </w:drawing>
      </w:r>
    </w:p>
    <w:p w14:paraId="7E433A95" w14:textId="77777777" w:rsidR="00E57D43" w:rsidRDefault="00E57D43" w:rsidP="00E57D43">
      <w:pPr>
        <w:pageBreakBefore/>
        <w:spacing w:after="0" w:line="360" w:lineRule="auto"/>
        <w:jc w:val="left"/>
        <w:rPr>
          <w:rFonts w:cs="Arial"/>
          <w:b/>
          <w:sz w:val="20"/>
          <w:szCs w:val="20"/>
          <w:lang w:val="es-EC"/>
        </w:rPr>
      </w:pPr>
      <w:r>
        <w:rPr>
          <w:rFonts w:cs="Arial"/>
          <w:b/>
          <w:sz w:val="20"/>
          <w:szCs w:val="20"/>
          <w:lang w:val="es-EC"/>
        </w:rPr>
        <w:t>Firmas de los estudiantes:</w:t>
      </w:r>
    </w:p>
    <w:p w14:paraId="2AFB24D7" w14:textId="77777777" w:rsidR="00C44AC0" w:rsidRDefault="00C44AC0" w:rsidP="00340592">
      <w:pPr>
        <w:spacing w:after="0" w:line="360" w:lineRule="auto"/>
        <w:jc w:val="center"/>
        <w:rPr>
          <w:rFonts w:cs="Arial"/>
          <w:b/>
          <w:sz w:val="20"/>
          <w:szCs w:val="20"/>
          <w:lang w:val="es-EC"/>
        </w:rPr>
      </w:pPr>
    </w:p>
    <w:tbl>
      <w:tblPr>
        <w:tblStyle w:val="Tablaconcuadrcula"/>
        <w:tblW w:w="9351" w:type="dxa"/>
        <w:tblLook w:val="04A0" w:firstRow="1" w:lastRow="0" w:firstColumn="1" w:lastColumn="0" w:noHBand="0" w:noVBand="1"/>
      </w:tblPr>
      <w:tblGrid>
        <w:gridCol w:w="2943"/>
        <w:gridCol w:w="2943"/>
        <w:gridCol w:w="3465"/>
      </w:tblGrid>
      <w:tr w:rsidR="00526DF4" w:rsidRPr="00526DF4" w14:paraId="7599CC8F" w14:textId="77777777" w:rsidTr="00A81C80">
        <w:trPr>
          <w:trHeight w:val="578"/>
        </w:trPr>
        <w:tc>
          <w:tcPr>
            <w:tcW w:w="2943" w:type="dxa"/>
            <w:vAlign w:val="center"/>
          </w:tcPr>
          <w:p w14:paraId="22FFEF3B" w14:textId="0A99FB82" w:rsidR="00526DF4" w:rsidRPr="00526DF4" w:rsidRDefault="00526DF4" w:rsidP="00526DF4">
            <w:pPr>
              <w:spacing w:line="360" w:lineRule="auto"/>
              <w:jc w:val="left"/>
              <w:rPr>
                <w:rFonts w:cs="Arial"/>
                <w:bCs/>
                <w:color w:val="7F7F7F" w:themeColor="text1" w:themeTint="80"/>
                <w:sz w:val="14"/>
                <w:szCs w:val="14"/>
                <w:lang w:val="es-EC"/>
              </w:rPr>
            </w:pPr>
            <w:r w:rsidRPr="00526DF4">
              <w:rPr>
                <w:rFonts w:cs="Arial"/>
                <w:bCs/>
                <w:color w:val="7F7F7F" w:themeColor="text1" w:themeTint="80"/>
                <w:sz w:val="14"/>
                <w:szCs w:val="14"/>
                <w:lang w:val="es-EC"/>
              </w:rPr>
              <w:t xml:space="preserve">Firma: </w:t>
            </w:r>
          </w:p>
        </w:tc>
        <w:tc>
          <w:tcPr>
            <w:tcW w:w="2943" w:type="dxa"/>
            <w:vAlign w:val="center"/>
          </w:tcPr>
          <w:p w14:paraId="4F8978CF" w14:textId="58292208"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 xml:space="preserve">Firma: </w:t>
            </w:r>
          </w:p>
        </w:tc>
        <w:tc>
          <w:tcPr>
            <w:tcW w:w="3465" w:type="dxa"/>
            <w:vAlign w:val="center"/>
          </w:tcPr>
          <w:p w14:paraId="67EC76E3" w14:textId="79E19A03"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 xml:space="preserve">Firma: </w:t>
            </w:r>
          </w:p>
        </w:tc>
      </w:tr>
      <w:tr w:rsidR="00526DF4" w:rsidRPr="00526DF4" w14:paraId="0AF76558" w14:textId="77777777" w:rsidTr="00A81C80">
        <w:trPr>
          <w:trHeight w:val="558"/>
        </w:trPr>
        <w:tc>
          <w:tcPr>
            <w:tcW w:w="2943" w:type="dxa"/>
            <w:vAlign w:val="center"/>
          </w:tcPr>
          <w:p w14:paraId="284991F2" w14:textId="7B4D2DD7" w:rsidR="00526DF4" w:rsidRPr="00526DF4" w:rsidRDefault="00526DF4" w:rsidP="00526DF4">
            <w:pPr>
              <w:spacing w:line="360" w:lineRule="auto"/>
              <w:jc w:val="left"/>
              <w:rPr>
                <w:rFonts w:cs="Arial"/>
                <w:bCs/>
                <w:color w:val="7F7F7F" w:themeColor="text1" w:themeTint="80"/>
                <w:sz w:val="14"/>
                <w:szCs w:val="14"/>
                <w:lang w:val="es-EC"/>
              </w:rPr>
            </w:pPr>
            <w:r w:rsidRPr="00526DF4">
              <w:rPr>
                <w:rFonts w:cs="Arial"/>
                <w:bCs/>
                <w:color w:val="7F7F7F" w:themeColor="text1" w:themeTint="80"/>
                <w:sz w:val="14"/>
                <w:szCs w:val="14"/>
                <w:lang w:val="es-EC"/>
              </w:rPr>
              <w:t>Nombre</w:t>
            </w:r>
            <w:r w:rsidR="002826F0">
              <w:rPr>
                <w:rFonts w:cs="Arial"/>
                <w:bCs/>
                <w:color w:val="7F7F7F" w:themeColor="text1" w:themeTint="80"/>
                <w:sz w:val="14"/>
                <w:szCs w:val="14"/>
                <w:lang w:val="es-EC"/>
              </w:rPr>
              <w:t xml:space="preserve"> estudiante</w:t>
            </w:r>
            <w:r w:rsidRPr="00526DF4">
              <w:rPr>
                <w:rFonts w:cs="Arial"/>
                <w:bCs/>
                <w:color w:val="7F7F7F" w:themeColor="text1" w:themeTint="80"/>
                <w:sz w:val="14"/>
                <w:szCs w:val="14"/>
                <w:lang w:val="es-EC"/>
              </w:rPr>
              <w:t>:</w:t>
            </w:r>
          </w:p>
        </w:tc>
        <w:tc>
          <w:tcPr>
            <w:tcW w:w="2943" w:type="dxa"/>
            <w:vAlign w:val="center"/>
          </w:tcPr>
          <w:p w14:paraId="2970BE77" w14:textId="17F864C2"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Nombre</w:t>
            </w:r>
            <w:r w:rsidR="002826F0">
              <w:rPr>
                <w:rFonts w:cs="Arial"/>
                <w:bCs/>
                <w:color w:val="7F7F7F" w:themeColor="text1" w:themeTint="80"/>
                <w:sz w:val="14"/>
                <w:szCs w:val="14"/>
                <w:lang w:val="es-EC"/>
              </w:rPr>
              <w:t xml:space="preserve"> estudiante</w:t>
            </w:r>
            <w:r w:rsidRPr="00526DF4">
              <w:rPr>
                <w:rFonts w:cs="Arial"/>
                <w:bCs/>
                <w:color w:val="7F7F7F" w:themeColor="text1" w:themeTint="80"/>
                <w:sz w:val="14"/>
                <w:szCs w:val="14"/>
                <w:lang w:val="es-EC"/>
              </w:rPr>
              <w:t>:</w:t>
            </w:r>
          </w:p>
        </w:tc>
        <w:tc>
          <w:tcPr>
            <w:tcW w:w="3465" w:type="dxa"/>
            <w:vAlign w:val="center"/>
          </w:tcPr>
          <w:p w14:paraId="6547B4FE" w14:textId="5BB8776F"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Nombre</w:t>
            </w:r>
            <w:r w:rsidR="002826F0">
              <w:rPr>
                <w:rFonts w:cs="Arial"/>
                <w:bCs/>
                <w:color w:val="7F7F7F" w:themeColor="text1" w:themeTint="80"/>
                <w:sz w:val="14"/>
                <w:szCs w:val="14"/>
                <w:lang w:val="es-EC"/>
              </w:rPr>
              <w:t xml:space="preserve"> estudiante</w:t>
            </w:r>
            <w:r w:rsidRPr="00526DF4">
              <w:rPr>
                <w:rFonts w:cs="Arial"/>
                <w:bCs/>
                <w:color w:val="7F7F7F" w:themeColor="text1" w:themeTint="80"/>
                <w:sz w:val="14"/>
                <w:szCs w:val="14"/>
                <w:lang w:val="es-EC"/>
              </w:rPr>
              <w:t>:</w:t>
            </w:r>
          </w:p>
        </w:tc>
      </w:tr>
    </w:tbl>
    <w:p w14:paraId="0D45CBFD" w14:textId="77777777" w:rsidR="00C44AC0" w:rsidRDefault="00C44AC0" w:rsidP="00C44AC0">
      <w:pPr>
        <w:spacing w:after="0" w:line="360" w:lineRule="auto"/>
        <w:jc w:val="left"/>
        <w:rPr>
          <w:rFonts w:cs="Arial"/>
          <w:b/>
          <w:sz w:val="20"/>
          <w:szCs w:val="20"/>
          <w:lang w:val="es-EC"/>
        </w:rPr>
      </w:pPr>
    </w:p>
    <w:p w14:paraId="6D56F3B3" w14:textId="77777777" w:rsidR="00D82852" w:rsidRDefault="00D82852" w:rsidP="00C44AC0">
      <w:pPr>
        <w:spacing w:after="0" w:line="360" w:lineRule="auto"/>
        <w:jc w:val="left"/>
        <w:rPr>
          <w:rFonts w:cs="Arial"/>
          <w:b/>
          <w:sz w:val="20"/>
          <w:szCs w:val="20"/>
          <w:lang w:val="es-EC"/>
        </w:rPr>
      </w:pPr>
    </w:p>
    <w:p w14:paraId="30C569E9" w14:textId="09A0F445" w:rsidR="00C44AC0" w:rsidRDefault="00C44AC0" w:rsidP="00A81C8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jc w:val="left"/>
        <w:rPr>
          <w:rFonts w:cs="Arial"/>
          <w:b/>
          <w:sz w:val="20"/>
          <w:szCs w:val="20"/>
          <w:lang w:val="es-EC"/>
        </w:rPr>
      </w:pPr>
      <w:r>
        <w:rPr>
          <w:rFonts w:cs="Arial"/>
          <w:b/>
          <w:sz w:val="20"/>
          <w:szCs w:val="20"/>
          <w:lang w:val="es-EC"/>
        </w:rPr>
        <w:t>Responsable</w:t>
      </w:r>
      <w:r w:rsidR="00E57D43">
        <w:rPr>
          <w:rFonts w:cs="Arial"/>
          <w:b/>
          <w:sz w:val="20"/>
          <w:szCs w:val="20"/>
          <w:lang w:val="es-EC"/>
        </w:rPr>
        <w:t xml:space="preserve"> UEA</w:t>
      </w:r>
    </w:p>
    <w:p w14:paraId="6BF0C69C" w14:textId="7CB831E4" w:rsidR="00C44AC0" w:rsidRPr="00BF04AC" w:rsidRDefault="00C44AC0" w:rsidP="004839C8">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jc w:val="left"/>
        <w:rPr>
          <w:rFonts w:cs="Arial"/>
          <w:bCs/>
          <w:color w:val="BFBFBF" w:themeColor="background1" w:themeShade="BF"/>
          <w:sz w:val="22"/>
          <w:szCs w:val="20"/>
          <w:lang w:val="es-EC"/>
        </w:rPr>
      </w:pPr>
      <w:r>
        <w:rPr>
          <w:rFonts w:cs="Arial"/>
          <w:b/>
          <w:sz w:val="20"/>
          <w:szCs w:val="20"/>
          <w:lang w:val="es-EC"/>
        </w:rPr>
        <w:t xml:space="preserve">Docente: </w:t>
      </w:r>
    </w:p>
    <w:sectPr w:rsidR="00C44AC0" w:rsidRPr="00BF04AC" w:rsidSect="00340592">
      <w:headerReference w:type="default" r:id="rId7"/>
      <w:pgSz w:w="12242" w:h="15842" w:code="1"/>
      <w:pgMar w:top="2410" w:right="1701" w:bottom="212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B8A2A" w14:textId="77777777" w:rsidR="009E4A34" w:rsidRDefault="009E4A34">
      <w:pPr>
        <w:spacing w:after="0" w:line="240" w:lineRule="auto"/>
      </w:pPr>
      <w:r>
        <w:separator/>
      </w:r>
    </w:p>
  </w:endnote>
  <w:endnote w:type="continuationSeparator" w:id="0">
    <w:p w14:paraId="5D4C833D" w14:textId="77777777" w:rsidR="009E4A34" w:rsidRDefault="009E4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F2E8B" w14:textId="77777777" w:rsidR="009E4A34" w:rsidRDefault="009E4A34">
      <w:pPr>
        <w:spacing w:after="0" w:line="240" w:lineRule="auto"/>
      </w:pPr>
      <w:r>
        <w:separator/>
      </w:r>
    </w:p>
  </w:footnote>
  <w:footnote w:type="continuationSeparator" w:id="0">
    <w:p w14:paraId="04291167" w14:textId="77777777" w:rsidR="009E4A34" w:rsidRDefault="009E4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84A4" w14:textId="77777777" w:rsidR="000048E8" w:rsidRDefault="00701A70">
    <w:pPr>
      <w:pStyle w:val="Encabezado"/>
    </w:pPr>
    <w:r>
      <w:rPr>
        <w:noProof/>
        <w:lang w:val="es-EC" w:eastAsia="es-EC"/>
      </w:rPr>
      <w:drawing>
        <wp:anchor distT="0" distB="0" distL="114300" distR="114300" simplePos="0" relativeHeight="251659264" behindDoc="1" locked="0" layoutInCell="1" allowOverlap="1" wp14:anchorId="14FAE4BD" wp14:editId="7825D809">
          <wp:simplePos x="0" y="0"/>
          <wp:positionH relativeFrom="margin">
            <wp:align>center</wp:align>
          </wp:positionH>
          <wp:positionV relativeFrom="paragraph">
            <wp:posOffset>-99695</wp:posOffset>
          </wp:positionV>
          <wp:extent cx="7782180" cy="10050145"/>
          <wp:effectExtent l="0" t="0" r="9525" b="8255"/>
          <wp:wrapNone/>
          <wp:docPr id="1757206465" name="Imagen 175720646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pPr>
      <w:spacing w:before="0" w:after="0" w:line="240" w:lineRule="auto"/>
      <w:jc w:val="right"/>
    </w:pPr>
    <w:r>
      <w:rPr>
        <w:rFonts w:ascii="Arial" w:hAnsi="Arial" w:cs="Arial" w:eastAsia="Arial"/>
        <w:sz w:val="22"/>
        <w:szCs w:val="22"/>
        <w:lang w:val="es-EC"/>
      </w:rPr>
      <w:fldChar w:fldCharType="begin"/>
    </w:r>
    <w:r>
      <w:rPr>
        <w:rFonts w:ascii="Arial" w:hAnsi="Arial" w:cs="Arial" w:eastAsia="Arial"/>
        <w:sz w:val="22"/>
        <w:szCs w:val="22"/>
        <w:lang w:val="es-EC"/>
      </w:rPr>
      <w:instrText xml:space="preserve"> PAGE </w:instrText>
    </w:r>
    <w:r>
      <w:rPr>
        <w:rFonts w:ascii="Arial" w:hAnsi="Arial" w:cs="Arial" w:eastAsia="Arial"/>
        <w:sz w:val="22"/>
        <w:szCs w:val="22"/>
        <w:lang w:val="es-EC"/>
      </w:rPr>
      <w:fldChar w:fldCharType="separate"/>
    </w:r>
    <w:r>
      <w:rPr>
        <w:rFonts w:ascii="Arial" w:hAnsi="Arial" w:cs="Arial" w:eastAsia="Arial"/>
        <w:sz w:val="22"/>
        <w:szCs w:val="22"/>
        <w:lang w:val="es-EC"/>
      </w:rPr>
      <w:t>1</w:t>
    </w:r>
    <w:r>
      <w:rPr>
        <w:rFonts w:ascii="Arial" w:hAnsi="Arial" w:cs="Arial" w:eastAsia="Arial"/>
        <w:sz w:val="22"/>
        <w:szCs w:val="22"/>
        <w:lang w:val="es-EC"/>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CB7CEA"/>
    <w:multiLevelType w:val="hybridMultilevel"/>
    <w:tmpl w:val="E71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010EF"/>
    <w:rsid w:val="000F50F9"/>
    <w:rsid w:val="002826F0"/>
    <w:rsid w:val="00340592"/>
    <w:rsid w:val="00393830"/>
    <w:rsid w:val="004345D3"/>
    <w:rsid w:val="004839C8"/>
    <w:rsid w:val="004B1132"/>
    <w:rsid w:val="004F46FE"/>
    <w:rsid w:val="00526DF4"/>
    <w:rsid w:val="00625A77"/>
    <w:rsid w:val="006C5923"/>
    <w:rsid w:val="006D3AF7"/>
    <w:rsid w:val="00701A70"/>
    <w:rsid w:val="00734FC8"/>
    <w:rsid w:val="007C4EE1"/>
    <w:rsid w:val="007F2800"/>
    <w:rsid w:val="00955663"/>
    <w:rsid w:val="009E4A34"/>
    <w:rsid w:val="00A81C80"/>
    <w:rsid w:val="00BF04AC"/>
    <w:rsid w:val="00C11925"/>
    <w:rsid w:val="00C44AC0"/>
    <w:rsid w:val="00D82852"/>
    <w:rsid w:val="00E40309"/>
    <w:rsid w:val="00E57D43"/>
    <w:rsid w:val="00F56282"/>
    <w:rsid w:val="00F648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cs="Arial" w:eastAsia="Arial"/>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cs="Arial" w:eastAsia="Arial"/>
      <w:sz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cs="Arial" w:eastAsia="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64869"/>
    <w:pPr>
      <w:spacing w:after="0" w:line="240" w:lineRule="auto"/>
    </w:pPr>
    <w:rPr>
      <w:rFonts w:ascii="Arial" w:eastAsia="Arial" w:hAnsi="Arial" w:cs="Arial"/>
    </w:rPr>
  </w:style>
  <w:style w:type="paragraph" w:styleId="NormalWeb">
    <w:name w:val="Normal (Web)"/>
    <w:basedOn w:val="Normal"/>
    <w:uiPriority w:val="99"/>
    <w:unhideWhenUsed/>
    <w:rsid w:val="00F64869"/>
    <w:pPr>
      <w:spacing w:before="100" w:beforeAutospacing="1" w:after="100" w:afterAutospacing="1" w:line="240" w:lineRule="auto"/>
      <w:jc w:val="left"/>
    </w:pPr>
    <w:rPr>
      <w:rFonts w:ascii="Arial" w:eastAsia="Arial" w:hAnsi="Arial" w:cs="Arial"/>
      <w:szCs w:val="24"/>
    </w:rPr>
  </w:style>
  <w:style w:type="paragraph" w:styleId="Prrafodelista">
    <w:name w:val="List Paragraph"/>
    <w:basedOn w:val="Normal"/>
    <w:uiPriority w:val="34"/>
    <w:qFormat/>
    <w:rsid w:val="006C5923"/>
    <w:pPr>
      <w:ind w:left="720"/>
      <w:contextualSpacing/>
    </w:pPr>
  </w:style>
  <w:style w:type="character" w:styleId="Refdecomentario">
    <w:name w:val="annotation reference"/>
    <w:basedOn w:val="Fuentedeprrafopredeter"/>
    <w:uiPriority w:val="99"/>
    <w:semiHidden/>
    <w:unhideWhenUsed/>
    <w:rsid w:val="007C4EE1"/>
    <w:rPr>
      <w:sz w:val="16"/>
      <w:szCs w:val="16"/>
    </w:rPr>
  </w:style>
  <w:style w:type="paragraph" w:styleId="Textocomentario">
    <w:name w:val="annotation text"/>
    <w:basedOn w:val="Normal"/>
    <w:link w:val="TextocomentarioCar"/>
    <w:uiPriority w:val="99"/>
    <w:unhideWhenUsed/>
    <w:rsid w:val="007C4EE1"/>
    <w:pPr>
      <w:spacing w:line="240" w:lineRule="auto"/>
    </w:pPr>
    <w:rPr>
      <w:sz w:val="20"/>
      <w:szCs w:val="20"/>
    </w:rPr>
  </w:style>
  <w:style w:type="character" w:customStyle="1" w:styleId="TextocomentarioCar">
    <w:name w:val="Texto comentario Car"/>
    <w:basedOn w:val="Fuentedeprrafopredeter"/>
    <w:link w:val="Textocomentario"/>
    <w:uiPriority w:val="99"/>
    <w:rsid w:val="007C4EE1"/>
    <w:rPr>
      <w:rFonts w:ascii="Arial" w:hAnsi="Arial" w:cs="Arial" w:eastAsia="Arial"/>
      <w:sz w:val="20"/>
      <w:szCs w:val="20"/>
      <w:lang w:val="en-US"/>
    </w:rPr>
  </w:style>
  <w:style w:type="paragraph" w:styleId="Asuntodelcomentario">
    <w:name w:val="annotation subject"/>
    <w:basedOn w:val="Textocomentario"/>
    <w:next w:val="Textocomentario"/>
    <w:link w:val="AsuntodelcomentarioCar"/>
    <w:uiPriority w:val="99"/>
    <w:semiHidden/>
    <w:unhideWhenUsed/>
    <w:rsid w:val="007C4EE1"/>
    <w:rPr>
      <w:b/>
      <w:bCs/>
    </w:rPr>
  </w:style>
  <w:style w:type="character" w:customStyle="1" w:styleId="AsuntodelcomentarioCar">
    <w:name w:val="Asunto del comentario Car"/>
    <w:basedOn w:val="TextocomentarioCar"/>
    <w:link w:val="Asuntodelcomentario"/>
    <w:uiPriority w:val="99"/>
    <w:semiHidden/>
    <w:rsid w:val="007C4EE1"/>
    <w:rPr>
      <w:rFonts w:ascii="Arial" w:hAnsi="Arial" w:cs="Arial" w:eastAsia="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Words>
  <Characters>446</Characters>
  <Application>Microsoft Office Word</Application>
  <DocSecurity>0</DocSecurity>
  <Lines>3</Lines>
  <Paragraphs>1</Paragraphs>
  <ScaleCrop>false</ScaleCrop>
  <Company/>
  <LinksUpToDate>false</LinksUpToDate>
  <CharactersWithSpaces>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gabriela jaqueline garzon moreno</cp:lastModifiedBy>
  <cp:revision>2</cp:revision>
  <dcterms:created xsi:type="dcterms:W3CDTF">2023-12-01T13:27:00Z</dcterms:created>
  <dcterms:modified xsi:type="dcterms:W3CDTF">2023-12-01T13:27:00Z</dcterms:modified>
</cp:coreProperties>
</file>