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F9888" w14:textId="63E55E28" w:rsidR="008C7005" w:rsidRDefault="008C7005" w:rsidP="00DA1129">
      <w:pPr>
        <w:suppressAutoHyphens/>
        <w:jc w:val="center"/>
        <w:rPr>
          <w:rFonts w:ascii="Calibre Regular" w:hAnsi="Calibre Regular" w:cs="Arial"/>
          <w:b/>
          <w:sz w:val="28"/>
          <w:szCs w:val="28"/>
        </w:rPr>
      </w:pPr>
      <w:r>
        <w:rPr>
          <w:rFonts w:ascii="Calibre Regular" w:hAnsi="Calibre Regular" w:cs="Arial"/>
          <w:b/>
          <w:sz w:val="28"/>
          <w:szCs w:val="28"/>
        </w:rPr>
        <w:t>Wildfire Risk in the Wildland-Urban Interface</w:t>
      </w:r>
    </w:p>
    <w:p w14:paraId="58D0CCD0" w14:textId="77777777" w:rsidR="008C7005" w:rsidRPr="008C374C" w:rsidRDefault="008C7005" w:rsidP="00DA1129">
      <w:pPr>
        <w:suppressAutoHyphens/>
        <w:jc w:val="center"/>
        <w:rPr>
          <w:rFonts w:ascii="Calibre Regular" w:hAnsi="Calibre Regular" w:cs="Arial"/>
          <w:sz w:val="22"/>
          <w:szCs w:val="22"/>
        </w:rPr>
      </w:pPr>
    </w:p>
    <w:p w14:paraId="35B08009" w14:textId="27EABE2C" w:rsidR="00FA5E28" w:rsidRDefault="003D1033">
      <w:pPr>
        <w:rPr>
          <w:rFonts w:ascii="Calibre Regular" w:hAnsi="Calibre Regular" w:cs="Arial"/>
          <w:bCs/>
          <w:sz w:val="22"/>
          <w:szCs w:val="22"/>
        </w:rPr>
      </w:pPr>
      <w:r>
        <w:rPr>
          <w:rFonts w:ascii="Calibre Regular" w:hAnsi="Calibre Regular" w:cs="Arial"/>
          <w:bCs/>
          <w:sz w:val="22"/>
          <w:szCs w:val="22"/>
        </w:rPr>
        <w:t>Frequency of large wildfires</w:t>
      </w:r>
      <w:r w:rsidR="003B1F3B">
        <w:rPr>
          <w:rFonts w:ascii="Calibre Regular" w:hAnsi="Calibre Regular" w:cs="Arial"/>
          <w:bCs/>
          <w:sz w:val="22"/>
          <w:szCs w:val="22"/>
        </w:rPr>
        <w:t xml:space="preserve"> in the western U.S. </w:t>
      </w:r>
      <w:r w:rsidR="00F536D6">
        <w:rPr>
          <w:rFonts w:ascii="Calibre Regular" w:hAnsi="Calibre Regular" w:cs="Arial"/>
          <w:bCs/>
          <w:sz w:val="22"/>
          <w:szCs w:val="22"/>
        </w:rPr>
        <w:t>has</w:t>
      </w:r>
      <w:r w:rsidR="003B1F3B">
        <w:rPr>
          <w:rFonts w:ascii="Calibre Regular" w:hAnsi="Calibre Regular" w:cs="Arial"/>
          <w:bCs/>
          <w:sz w:val="22"/>
          <w:szCs w:val="22"/>
        </w:rPr>
        <w:t xml:space="preserve"> risen dramatically over the past several decades</w:t>
      </w:r>
      <w:r>
        <w:rPr>
          <w:rFonts w:ascii="Calibre Regular" w:hAnsi="Calibre Regular" w:cs="Arial"/>
          <w:bCs/>
          <w:sz w:val="22"/>
          <w:szCs w:val="22"/>
        </w:rPr>
        <w:t xml:space="preserve">, fueled by climate change, drought, and forests dense with fuels that have been allowed to accumulate over decades. Coupled with </w:t>
      </w:r>
      <w:r w:rsidR="003B1F3B">
        <w:rPr>
          <w:rFonts w:ascii="Calibre Regular" w:hAnsi="Calibre Regular" w:cs="Arial"/>
          <w:bCs/>
          <w:sz w:val="22"/>
          <w:szCs w:val="22"/>
        </w:rPr>
        <w:t xml:space="preserve">increased development in the wildland-urban interface (WUI), where homes </w:t>
      </w:r>
      <w:r w:rsidR="00931AE3">
        <w:rPr>
          <w:rFonts w:ascii="Calibre Regular" w:hAnsi="Calibre Regular" w:cs="Arial"/>
          <w:bCs/>
          <w:sz w:val="22"/>
          <w:szCs w:val="22"/>
        </w:rPr>
        <w:t>abut and intermingle with large areas of wildland vegetation</w:t>
      </w:r>
      <w:r w:rsidR="001E49E9">
        <w:rPr>
          <w:rFonts w:ascii="Calibre Regular" w:hAnsi="Calibre Regular" w:cs="Arial"/>
          <w:bCs/>
          <w:sz w:val="22"/>
          <w:szCs w:val="22"/>
        </w:rPr>
        <w:t xml:space="preserve">, </w:t>
      </w:r>
      <w:r>
        <w:rPr>
          <w:rFonts w:ascii="Calibre Regular" w:hAnsi="Calibre Regular" w:cs="Arial"/>
          <w:bCs/>
          <w:sz w:val="22"/>
          <w:szCs w:val="22"/>
        </w:rPr>
        <w:t>the West—and especially California—have seen heavy increases in damages from wildfire and</w:t>
      </w:r>
      <w:r w:rsidR="00FA5E28">
        <w:rPr>
          <w:rFonts w:ascii="Calibre Regular" w:hAnsi="Calibre Regular" w:cs="Arial"/>
          <w:bCs/>
          <w:sz w:val="22"/>
          <w:szCs w:val="22"/>
        </w:rPr>
        <w:t xml:space="preserve"> the costs of wildfire management (citations).</w:t>
      </w:r>
      <w:r w:rsidR="001E49E9">
        <w:rPr>
          <w:rFonts w:ascii="Calibre Regular" w:hAnsi="Calibre Regular" w:cs="Arial"/>
          <w:bCs/>
          <w:sz w:val="22"/>
          <w:szCs w:val="22"/>
        </w:rPr>
        <w:t xml:space="preserve"> </w:t>
      </w:r>
      <w:r w:rsidR="000519B5">
        <w:rPr>
          <w:rFonts w:ascii="Calibre Regular" w:hAnsi="Calibre Regular" w:cs="Arial"/>
          <w:bCs/>
          <w:sz w:val="22"/>
          <w:szCs w:val="22"/>
        </w:rPr>
        <w:t>The</w:t>
      </w:r>
      <w:r w:rsidR="00931AE3">
        <w:rPr>
          <w:rFonts w:ascii="Calibre Regular" w:hAnsi="Calibre Regular" w:cs="Arial"/>
          <w:bCs/>
          <w:sz w:val="22"/>
          <w:szCs w:val="22"/>
        </w:rPr>
        <w:t xml:space="preserve"> </w:t>
      </w:r>
      <w:r w:rsidR="006721C5">
        <w:rPr>
          <w:rFonts w:ascii="Calibre Regular" w:hAnsi="Calibre Regular" w:cs="Arial"/>
          <w:bCs/>
          <w:sz w:val="22"/>
          <w:szCs w:val="22"/>
        </w:rPr>
        <w:t>wildland-urban interface is the fastest growing land use type in the US, and that one out of every three houses in the US is in the wildland-urban interface (</w:t>
      </w:r>
      <w:proofErr w:type="spellStart"/>
      <w:r w:rsidR="006721C5">
        <w:rPr>
          <w:rFonts w:ascii="Calibre Regular" w:hAnsi="Calibre Regular" w:cs="Arial"/>
          <w:bCs/>
          <w:sz w:val="22"/>
          <w:szCs w:val="22"/>
        </w:rPr>
        <w:t>Radeloff</w:t>
      </w:r>
      <w:proofErr w:type="spellEnd"/>
      <w:r w:rsidR="006721C5">
        <w:rPr>
          <w:rFonts w:ascii="Calibre Regular" w:hAnsi="Calibre Regular" w:cs="Arial"/>
          <w:bCs/>
          <w:sz w:val="22"/>
          <w:szCs w:val="22"/>
        </w:rPr>
        <w:t xml:space="preserve"> et al. 201</w:t>
      </w:r>
      <w:r w:rsidR="001E49E9">
        <w:rPr>
          <w:rFonts w:ascii="Calibre Regular" w:hAnsi="Calibre Regular" w:cs="Arial"/>
          <w:bCs/>
          <w:sz w:val="22"/>
          <w:szCs w:val="22"/>
        </w:rPr>
        <w:t>8).</w:t>
      </w:r>
    </w:p>
    <w:p w14:paraId="5DA1D59A" w14:textId="248C4EB6" w:rsidR="003D1033" w:rsidRDefault="003D1033">
      <w:pPr>
        <w:rPr>
          <w:rFonts w:ascii="Calibre Regular" w:hAnsi="Calibre Regular" w:cs="Arial"/>
          <w:bCs/>
          <w:sz w:val="22"/>
          <w:szCs w:val="22"/>
        </w:rPr>
      </w:pPr>
    </w:p>
    <w:p w14:paraId="07B01EE4" w14:textId="049F03B8" w:rsidR="00B955BD" w:rsidRDefault="002D4105">
      <w:pPr>
        <w:rPr>
          <w:rFonts w:ascii="Calibre Regular" w:hAnsi="Calibre Regular" w:cs="Arial"/>
          <w:bCs/>
          <w:sz w:val="22"/>
          <w:szCs w:val="22"/>
        </w:rPr>
      </w:pPr>
      <w:r>
        <w:rPr>
          <w:rFonts w:ascii="Calibre Regular" w:hAnsi="Calibre Regular" w:cs="Arial"/>
          <w:bCs/>
          <w:sz w:val="22"/>
          <w:szCs w:val="22"/>
        </w:rPr>
        <w:t>Given that t</w:t>
      </w:r>
      <w:r w:rsidR="00C01109">
        <w:rPr>
          <w:rFonts w:ascii="Calibre Regular" w:hAnsi="Calibre Regular" w:cs="Arial"/>
          <w:bCs/>
          <w:sz w:val="22"/>
          <w:szCs w:val="22"/>
        </w:rPr>
        <w:t>rends</w:t>
      </w:r>
      <w:r w:rsidR="00904FBF">
        <w:rPr>
          <w:rFonts w:ascii="Calibre Regular" w:hAnsi="Calibre Regular" w:cs="Arial"/>
          <w:bCs/>
          <w:sz w:val="22"/>
          <w:szCs w:val="22"/>
        </w:rPr>
        <w:t xml:space="preserve"> in wildfire activity are expected to continue over the next several decades</w:t>
      </w:r>
      <w:r w:rsidR="00E0034F">
        <w:rPr>
          <w:rFonts w:ascii="Calibre Regular" w:hAnsi="Calibre Regular" w:cs="Arial"/>
          <w:bCs/>
          <w:sz w:val="22"/>
          <w:szCs w:val="22"/>
        </w:rPr>
        <w:t xml:space="preserve"> (citation)</w:t>
      </w:r>
      <w:r w:rsidR="00904FBF">
        <w:rPr>
          <w:rFonts w:ascii="Calibre Regular" w:hAnsi="Calibre Regular" w:cs="Arial"/>
          <w:bCs/>
          <w:sz w:val="22"/>
          <w:szCs w:val="22"/>
        </w:rPr>
        <w:t xml:space="preserve">, policymakers and communities in the wildland-urban interface face a series of </w:t>
      </w:r>
      <w:r w:rsidR="0082509F">
        <w:rPr>
          <w:rFonts w:ascii="Calibre Regular" w:hAnsi="Calibre Regular" w:cs="Arial"/>
          <w:bCs/>
          <w:sz w:val="22"/>
          <w:szCs w:val="22"/>
        </w:rPr>
        <w:t>challenge</w:t>
      </w:r>
      <w:r w:rsidR="00E0034F">
        <w:rPr>
          <w:rFonts w:ascii="Calibre Regular" w:hAnsi="Calibre Regular" w:cs="Arial"/>
          <w:bCs/>
          <w:sz w:val="22"/>
          <w:szCs w:val="22"/>
        </w:rPr>
        <w:t xml:space="preserve">s. In some high wildfire hazard areas, </w:t>
      </w:r>
      <w:r w:rsidR="004F4EB1">
        <w:rPr>
          <w:rFonts w:ascii="Calibre Regular" w:hAnsi="Calibre Regular" w:cs="Arial"/>
          <w:bCs/>
          <w:sz w:val="22"/>
          <w:szCs w:val="22"/>
        </w:rPr>
        <w:t xml:space="preserve">insurance </w:t>
      </w:r>
      <w:r w:rsidR="00EA2490">
        <w:rPr>
          <w:rFonts w:ascii="Calibre Regular" w:hAnsi="Calibre Regular" w:cs="Arial"/>
          <w:bCs/>
          <w:sz w:val="22"/>
          <w:szCs w:val="22"/>
        </w:rPr>
        <w:t>companies have dropped customers from policies</w:t>
      </w:r>
      <w:r w:rsidR="004F4EB1">
        <w:rPr>
          <w:rFonts w:ascii="Calibre Regular" w:hAnsi="Calibre Regular" w:cs="Arial"/>
          <w:bCs/>
          <w:sz w:val="22"/>
          <w:szCs w:val="22"/>
        </w:rPr>
        <w:t xml:space="preserve"> or </w:t>
      </w:r>
      <w:r w:rsidR="00F536D6">
        <w:rPr>
          <w:rFonts w:ascii="Calibre Regular" w:hAnsi="Calibre Regular" w:cs="Arial"/>
          <w:bCs/>
          <w:sz w:val="22"/>
          <w:szCs w:val="22"/>
        </w:rPr>
        <w:t xml:space="preserve">have </w:t>
      </w:r>
      <w:r w:rsidR="00C55034">
        <w:rPr>
          <w:rFonts w:ascii="Calibre Regular" w:hAnsi="Calibre Regular" w:cs="Arial"/>
          <w:bCs/>
          <w:sz w:val="22"/>
          <w:szCs w:val="22"/>
        </w:rPr>
        <w:t xml:space="preserve">dramatically </w:t>
      </w:r>
      <w:r w:rsidR="004F4EB1">
        <w:rPr>
          <w:rFonts w:ascii="Calibre Regular" w:hAnsi="Calibre Regular" w:cs="Arial"/>
          <w:bCs/>
          <w:sz w:val="22"/>
          <w:szCs w:val="22"/>
        </w:rPr>
        <w:t>increased premiums (citation)</w:t>
      </w:r>
      <w:r w:rsidR="0087218F">
        <w:rPr>
          <w:rFonts w:ascii="Calibre Regular" w:hAnsi="Calibre Regular" w:cs="Arial"/>
          <w:bCs/>
          <w:sz w:val="22"/>
          <w:szCs w:val="22"/>
        </w:rPr>
        <w:t xml:space="preserve">, creating </w:t>
      </w:r>
      <w:r w:rsidR="005470B9">
        <w:rPr>
          <w:rFonts w:ascii="Calibre Regular" w:hAnsi="Calibre Regular" w:cs="Arial"/>
          <w:bCs/>
          <w:sz w:val="22"/>
          <w:szCs w:val="22"/>
        </w:rPr>
        <w:t xml:space="preserve">significant cost-of-living </w:t>
      </w:r>
      <w:r w:rsidR="0087218F">
        <w:rPr>
          <w:rFonts w:ascii="Calibre Regular" w:hAnsi="Calibre Regular" w:cs="Arial"/>
          <w:bCs/>
          <w:sz w:val="22"/>
          <w:szCs w:val="22"/>
        </w:rPr>
        <w:t>challenges for</w:t>
      </w:r>
      <w:r>
        <w:rPr>
          <w:rFonts w:ascii="Calibre Regular" w:hAnsi="Calibre Regular" w:cs="Arial"/>
          <w:bCs/>
          <w:sz w:val="22"/>
          <w:szCs w:val="22"/>
        </w:rPr>
        <w:t xml:space="preserve"> </w:t>
      </w:r>
      <w:r w:rsidR="00CD072F">
        <w:rPr>
          <w:rFonts w:ascii="Calibre Regular" w:hAnsi="Calibre Regular" w:cs="Arial"/>
          <w:bCs/>
          <w:sz w:val="22"/>
          <w:szCs w:val="22"/>
        </w:rPr>
        <w:t xml:space="preserve">existing </w:t>
      </w:r>
      <w:r w:rsidR="0087218F">
        <w:rPr>
          <w:rFonts w:ascii="Calibre Regular" w:hAnsi="Calibre Regular" w:cs="Arial"/>
          <w:bCs/>
          <w:sz w:val="22"/>
          <w:szCs w:val="22"/>
        </w:rPr>
        <w:t xml:space="preserve">homeowners. </w:t>
      </w:r>
      <w:r w:rsidR="00CD072F">
        <w:rPr>
          <w:rFonts w:ascii="Calibre Regular" w:hAnsi="Calibre Regular" w:cs="Arial"/>
          <w:bCs/>
          <w:sz w:val="22"/>
          <w:szCs w:val="22"/>
        </w:rPr>
        <w:t>De</w:t>
      </w:r>
      <w:r w:rsidR="00C55034">
        <w:rPr>
          <w:rFonts w:ascii="Calibre Regular" w:hAnsi="Calibre Regular" w:cs="Arial"/>
          <w:bCs/>
          <w:sz w:val="22"/>
          <w:szCs w:val="22"/>
        </w:rPr>
        <w:t xml:space="preserve">spite these cost increases, </w:t>
      </w:r>
      <w:r w:rsidR="0046108F">
        <w:rPr>
          <w:rFonts w:ascii="Calibre Regular" w:hAnsi="Calibre Regular" w:cs="Arial"/>
          <w:bCs/>
          <w:sz w:val="22"/>
          <w:szCs w:val="22"/>
        </w:rPr>
        <w:t xml:space="preserve">continued </w:t>
      </w:r>
      <w:r w:rsidR="00C55034">
        <w:rPr>
          <w:rFonts w:ascii="Calibre Regular" w:hAnsi="Calibre Regular" w:cs="Arial"/>
          <w:bCs/>
          <w:sz w:val="22"/>
          <w:szCs w:val="22"/>
        </w:rPr>
        <w:t>residential development in high wildfire hazard areas</w:t>
      </w:r>
      <w:r w:rsidR="0046108F">
        <w:rPr>
          <w:rFonts w:ascii="Calibre Regular" w:hAnsi="Calibre Regular" w:cs="Arial"/>
          <w:bCs/>
          <w:sz w:val="22"/>
          <w:szCs w:val="22"/>
        </w:rPr>
        <w:t xml:space="preserve"> is likely to increase future fire damage,</w:t>
      </w:r>
      <w:r w:rsidR="00FB6C82">
        <w:rPr>
          <w:rFonts w:ascii="Calibre Regular" w:hAnsi="Calibre Regular" w:cs="Arial"/>
          <w:bCs/>
          <w:sz w:val="22"/>
          <w:szCs w:val="22"/>
        </w:rPr>
        <w:t xml:space="preserve"> fire management costs for federal and state agencies, and costs for energy utilities</w:t>
      </w:r>
      <w:r w:rsidR="00837F09">
        <w:rPr>
          <w:rFonts w:ascii="Calibre Regular" w:hAnsi="Calibre Regular" w:cs="Arial"/>
          <w:bCs/>
          <w:sz w:val="22"/>
          <w:szCs w:val="22"/>
        </w:rPr>
        <w:t>—</w:t>
      </w:r>
      <w:r w:rsidR="00FB6C82">
        <w:rPr>
          <w:rFonts w:ascii="Calibre Regular" w:hAnsi="Calibre Regular" w:cs="Arial"/>
          <w:bCs/>
          <w:sz w:val="22"/>
          <w:szCs w:val="22"/>
        </w:rPr>
        <w:t xml:space="preserve">who may be held financially responsible for fires </w:t>
      </w:r>
      <w:r w:rsidR="00584D8A">
        <w:rPr>
          <w:rFonts w:ascii="Calibre Regular" w:hAnsi="Calibre Regular" w:cs="Arial"/>
          <w:bCs/>
          <w:sz w:val="22"/>
          <w:szCs w:val="22"/>
        </w:rPr>
        <w:t xml:space="preserve">ignited </w:t>
      </w:r>
      <w:r w:rsidR="00FB6C82">
        <w:rPr>
          <w:rFonts w:ascii="Calibre Regular" w:hAnsi="Calibre Regular" w:cs="Arial"/>
          <w:bCs/>
          <w:sz w:val="22"/>
          <w:szCs w:val="22"/>
        </w:rPr>
        <w:t>by their equipment</w:t>
      </w:r>
      <w:r w:rsidR="00837F09">
        <w:rPr>
          <w:rFonts w:ascii="Calibre Regular" w:hAnsi="Calibre Regular" w:cs="Arial"/>
          <w:bCs/>
          <w:sz w:val="22"/>
          <w:szCs w:val="22"/>
        </w:rPr>
        <w:t>—and their consumers.</w:t>
      </w:r>
      <w:r w:rsidR="00FB6C82">
        <w:rPr>
          <w:rFonts w:ascii="Calibre Regular" w:hAnsi="Calibre Regular" w:cs="Arial"/>
          <w:bCs/>
          <w:sz w:val="22"/>
          <w:szCs w:val="22"/>
        </w:rPr>
        <w:t xml:space="preserve"> </w:t>
      </w:r>
    </w:p>
    <w:p w14:paraId="678DF4DD" w14:textId="3910F6DF" w:rsidR="00837F09" w:rsidRDefault="00837F09">
      <w:pPr>
        <w:rPr>
          <w:rFonts w:ascii="Calibre Regular" w:hAnsi="Calibre Regular" w:cs="Arial"/>
          <w:bCs/>
          <w:sz w:val="22"/>
          <w:szCs w:val="22"/>
        </w:rPr>
      </w:pPr>
    </w:p>
    <w:p w14:paraId="3CE5CC6C" w14:textId="185905B6" w:rsidR="00692EC9" w:rsidRDefault="0046108F">
      <w:pPr>
        <w:rPr>
          <w:rFonts w:ascii="Calibre Regular" w:hAnsi="Calibre Regular" w:cs="Arial"/>
          <w:bCs/>
          <w:sz w:val="22"/>
          <w:szCs w:val="22"/>
        </w:rPr>
      </w:pPr>
      <w:r>
        <w:rPr>
          <w:rFonts w:ascii="Calibre Regular" w:hAnsi="Calibre Regular" w:cs="Arial"/>
          <w:bCs/>
          <w:sz w:val="22"/>
          <w:szCs w:val="22"/>
        </w:rPr>
        <w:t xml:space="preserve">RFF proposes a </w:t>
      </w:r>
      <w:r w:rsidR="00CD10AA">
        <w:rPr>
          <w:rFonts w:ascii="Calibre Regular" w:hAnsi="Calibre Regular" w:cs="Arial"/>
          <w:bCs/>
          <w:sz w:val="22"/>
          <w:szCs w:val="22"/>
        </w:rPr>
        <w:t xml:space="preserve">project </w:t>
      </w:r>
      <w:r>
        <w:rPr>
          <w:rFonts w:ascii="Calibre Regular" w:hAnsi="Calibre Regular" w:cs="Arial"/>
          <w:bCs/>
          <w:sz w:val="22"/>
          <w:szCs w:val="22"/>
        </w:rPr>
        <w:t xml:space="preserve">intended to improve understanding </w:t>
      </w:r>
      <w:r w:rsidR="00F21D9D">
        <w:rPr>
          <w:rFonts w:ascii="Calibre Regular" w:hAnsi="Calibre Regular" w:cs="Arial"/>
          <w:bCs/>
          <w:sz w:val="22"/>
          <w:szCs w:val="22"/>
        </w:rPr>
        <w:t xml:space="preserve">of wildfire risk in the wildland-urban interface, and </w:t>
      </w:r>
      <w:r w:rsidR="002E5BB5">
        <w:rPr>
          <w:rFonts w:ascii="Calibre Regular" w:hAnsi="Calibre Regular" w:cs="Arial"/>
          <w:bCs/>
          <w:sz w:val="22"/>
          <w:szCs w:val="22"/>
        </w:rPr>
        <w:t>how exposure to wildfire risk in the WUI is likely to change under a variety of policy scenarios.</w:t>
      </w:r>
      <w:r w:rsidR="00CD10AA">
        <w:rPr>
          <w:rFonts w:ascii="Calibre Regular" w:hAnsi="Calibre Regular" w:cs="Arial"/>
          <w:bCs/>
          <w:sz w:val="22"/>
          <w:szCs w:val="22"/>
        </w:rPr>
        <w:t xml:space="preserve"> In the first stage of the project, we</w:t>
      </w:r>
      <w:r w:rsidR="005567FB">
        <w:rPr>
          <w:rFonts w:ascii="Calibre Regular" w:hAnsi="Calibre Regular" w:cs="Arial"/>
          <w:bCs/>
          <w:sz w:val="22"/>
          <w:szCs w:val="22"/>
        </w:rPr>
        <w:t xml:space="preserve"> provide important context </w:t>
      </w:r>
      <w:r w:rsidR="00591C01">
        <w:rPr>
          <w:rFonts w:ascii="Calibre Regular" w:hAnsi="Calibre Regular" w:cs="Arial"/>
          <w:bCs/>
          <w:sz w:val="22"/>
          <w:szCs w:val="22"/>
        </w:rPr>
        <w:t>regarding wildfire policy in the wildland-urban interface by assessing the degree to which wildfire risk is borne by</w:t>
      </w:r>
      <w:r w:rsidR="00383204">
        <w:rPr>
          <w:rFonts w:ascii="Calibre Regular" w:hAnsi="Calibre Regular" w:cs="Arial"/>
          <w:bCs/>
          <w:sz w:val="22"/>
          <w:szCs w:val="22"/>
        </w:rPr>
        <w:t xml:space="preserve"> relatively low versus relatively high-income households. In the second stage of the project</w:t>
      </w:r>
      <w:r w:rsidR="0061149C">
        <w:rPr>
          <w:rFonts w:ascii="Calibre Regular" w:hAnsi="Calibre Regular" w:cs="Arial"/>
          <w:bCs/>
          <w:sz w:val="22"/>
          <w:szCs w:val="22"/>
        </w:rPr>
        <w:t>,</w:t>
      </w:r>
      <w:r w:rsidR="00615A80">
        <w:rPr>
          <w:rFonts w:ascii="Calibre Regular" w:hAnsi="Calibre Regular" w:cs="Arial"/>
          <w:bCs/>
          <w:sz w:val="22"/>
          <w:szCs w:val="22"/>
        </w:rPr>
        <w:t xml:space="preserve"> in order to better understand potential effects of wildfire risk policies in the wildland-urban interface, we analyze how </w:t>
      </w:r>
      <w:proofErr w:type="gramStart"/>
      <w:r w:rsidR="00615A80">
        <w:rPr>
          <w:rFonts w:ascii="Calibre Regular" w:hAnsi="Calibre Regular" w:cs="Arial"/>
          <w:bCs/>
          <w:sz w:val="22"/>
          <w:szCs w:val="22"/>
        </w:rPr>
        <w:t>households</w:t>
      </w:r>
      <w:proofErr w:type="gramEnd"/>
      <w:r w:rsidR="00615A80">
        <w:rPr>
          <w:rFonts w:ascii="Calibre Regular" w:hAnsi="Calibre Regular" w:cs="Arial"/>
          <w:bCs/>
          <w:sz w:val="22"/>
          <w:szCs w:val="22"/>
        </w:rPr>
        <w:t xml:space="preserve"> trade-off price, amenities, and wildfire risk in choosing where to live</w:t>
      </w:r>
      <w:r w:rsidR="00692EC9">
        <w:rPr>
          <w:rFonts w:ascii="Calibre Regular" w:hAnsi="Calibre Regular" w:cs="Arial"/>
          <w:bCs/>
          <w:sz w:val="22"/>
          <w:szCs w:val="22"/>
        </w:rPr>
        <w:t>.</w:t>
      </w:r>
    </w:p>
    <w:p w14:paraId="7C2A651A" w14:textId="77777777" w:rsidR="00615A80" w:rsidRDefault="00615A80">
      <w:pPr>
        <w:rPr>
          <w:rFonts w:ascii="Calibre Regular" w:hAnsi="Calibre Regular" w:cs="Arial"/>
          <w:bCs/>
          <w:sz w:val="22"/>
          <w:szCs w:val="22"/>
        </w:rPr>
      </w:pPr>
    </w:p>
    <w:p w14:paraId="0FC71B0C" w14:textId="3730A143" w:rsidR="00DB7679" w:rsidRDefault="00DB7679" w:rsidP="00DB7679">
      <w:pPr>
        <w:pStyle w:val="ListParagraph"/>
        <w:numPr>
          <w:ilvl w:val="0"/>
          <w:numId w:val="17"/>
        </w:numPr>
        <w:rPr>
          <w:rFonts w:ascii="Calibre Regular" w:hAnsi="Calibre Regular" w:cs="Arial"/>
          <w:bCs/>
          <w:sz w:val="22"/>
          <w:szCs w:val="22"/>
        </w:rPr>
      </w:pPr>
      <w:r>
        <w:rPr>
          <w:rFonts w:ascii="Calibre Regular" w:hAnsi="Calibre Regular" w:cs="Arial"/>
          <w:bCs/>
          <w:sz w:val="22"/>
          <w:szCs w:val="22"/>
        </w:rPr>
        <w:t>Evaluating the Distributional Incidence of Wildfire Risk</w:t>
      </w:r>
    </w:p>
    <w:p w14:paraId="542B0A07" w14:textId="777BF234" w:rsidR="00DB7679" w:rsidRDefault="00DB7679" w:rsidP="00DB7679">
      <w:pPr>
        <w:rPr>
          <w:rFonts w:ascii="Calibre Regular" w:hAnsi="Calibre Regular" w:cs="Arial"/>
          <w:bCs/>
          <w:sz w:val="22"/>
          <w:szCs w:val="22"/>
        </w:rPr>
      </w:pPr>
    </w:p>
    <w:p w14:paraId="049ABAF3" w14:textId="6FA8E40E" w:rsidR="00D5514E" w:rsidRDefault="00DB7679" w:rsidP="00DB7679">
      <w:pPr>
        <w:rPr>
          <w:rFonts w:ascii="Calibre Regular" w:hAnsi="Calibre Regular" w:cs="Arial"/>
          <w:bCs/>
          <w:sz w:val="22"/>
          <w:szCs w:val="22"/>
        </w:rPr>
      </w:pPr>
      <w:r>
        <w:rPr>
          <w:rFonts w:ascii="Calibre Regular" w:hAnsi="Calibre Regular" w:cs="Arial"/>
          <w:bCs/>
          <w:sz w:val="22"/>
          <w:szCs w:val="22"/>
        </w:rPr>
        <w:t xml:space="preserve">Perceptions regarding who </w:t>
      </w:r>
      <w:r w:rsidR="004A77B2">
        <w:rPr>
          <w:rFonts w:ascii="Calibre Regular" w:hAnsi="Calibre Regular" w:cs="Arial"/>
          <w:bCs/>
          <w:sz w:val="22"/>
          <w:szCs w:val="22"/>
        </w:rPr>
        <w:t>is in harm’s way</w:t>
      </w:r>
      <w:r>
        <w:rPr>
          <w:rFonts w:ascii="Calibre Regular" w:hAnsi="Calibre Regular" w:cs="Arial"/>
          <w:bCs/>
          <w:sz w:val="22"/>
          <w:szCs w:val="22"/>
        </w:rPr>
        <w:t xml:space="preserve"> frequently underly</w:t>
      </w:r>
      <w:r w:rsidR="004A77B2">
        <w:rPr>
          <w:rFonts w:ascii="Calibre Regular" w:hAnsi="Calibre Regular" w:cs="Arial"/>
          <w:bCs/>
          <w:sz w:val="22"/>
          <w:szCs w:val="22"/>
        </w:rPr>
        <w:t xml:space="preserve"> attitudes regarding wildfire pol</w:t>
      </w:r>
      <w:r w:rsidR="00684738">
        <w:rPr>
          <w:rFonts w:ascii="Calibre Regular" w:hAnsi="Calibre Regular" w:cs="Arial"/>
          <w:bCs/>
          <w:sz w:val="22"/>
          <w:szCs w:val="22"/>
        </w:rPr>
        <w:t xml:space="preserve">icy. </w:t>
      </w:r>
      <w:r w:rsidR="00750B3E">
        <w:rPr>
          <w:rFonts w:ascii="Calibre Regular" w:hAnsi="Calibre Regular" w:cs="Arial"/>
          <w:bCs/>
          <w:sz w:val="22"/>
          <w:szCs w:val="22"/>
        </w:rPr>
        <w:t>Many would likely feel very differently regarding protection of protection of vacation homes at great expense and casualty risk than they would protection of a relatively low</w:t>
      </w:r>
      <w:r w:rsidR="000520BE">
        <w:rPr>
          <w:rFonts w:ascii="Calibre Regular" w:hAnsi="Calibre Regular" w:cs="Arial"/>
          <w:bCs/>
          <w:sz w:val="22"/>
          <w:szCs w:val="22"/>
        </w:rPr>
        <w:t>-</w:t>
      </w:r>
      <w:r w:rsidR="00750B3E">
        <w:rPr>
          <w:rFonts w:ascii="Calibre Regular" w:hAnsi="Calibre Regular" w:cs="Arial"/>
          <w:bCs/>
          <w:sz w:val="22"/>
          <w:szCs w:val="22"/>
        </w:rPr>
        <w:t>income</w:t>
      </w:r>
      <w:r w:rsidR="00D5514E">
        <w:rPr>
          <w:rFonts w:ascii="Calibre Regular" w:hAnsi="Calibre Regular" w:cs="Arial"/>
          <w:bCs/>
          <w:sz w:val="22"/>
          <w:szCs w:val="22"/>
        </w:rPr>
        <w:t xml:space="preserve"> community. </w:t>
      </w:r>
      <w:r w:rsidR="00684738">
        <w:rPr>
          <w:rFonts w:ascii="Calibre Regular" w:hAnsi="Calibre Regular" w:cs="Arial"/>
          <w:bCs/>
          <w:sz w:val="22"/>
          <w:szCs w:val="22"/>
        </w:rPr>
        <w:t xml:space="preserve">Yet popular understanding of the distributional incidence of wildfire risk is frequently contradictory. News stories highlight impacts of fire </w:t>
      </w:r>
      <w:r w:rsidR="00807F24">
        <w:rPr>
          <w:rFonts w:ascii="Calibre Regular" w:hAnsi="Calibre Regular" w:cs="Arial"/>
          <w:bCs/>
          <w:sz w:val="22"/>
          <w:szCs w:val="22"/>
        </w:rPr>
        <w:t>on</w:t>
      </w:r>
      <w:r w:rsidR="00684738">
        <w:rPr>
          <w:rFonts w:ascii="Calibre Regular" w:hAnsi="Calibre Regular" w:cs="Arial"/>
          <w:bCs/>
          <w:sz w:val="22"/>
          <w:szCs w:val="22"/>
        </w:rPr>
        <w:t xml:space="preserve"> celebrities like Ellen </w:t>
      </w:r>
      <w:proofErr w:type="spellStart"/>
      <w:r w:rsidR="00684738">
        <w:rPr>
          <w:rFonts w:ascii="Calibre Regular" w:hAnsi="Calibre Regular" w:cs="Arial"/>
          <w:bCs/>
          <w:sz w:val="22"/>
          <w:szCs w:val="22"/>
        </w:rPr>
        <w:t>Degeneres</w:t>
      </w:r>
      <w:proofErr w:type="spellEnd"/>
      <w:r w:rsidR="00684738">
        <w:rPr>
          <w:rFonts w:ascii="Calibre Regular" w:hAnsi="Calibre Regular" w:cs="Arial"/>
          <w:bCs/>
          <w:sz w:val="22"/>
          <w:szCs w:val="22"/>
        </w:rPr>
        <w:t xml:space="preserve"> and Miley Cyrus, while simultaneously </w:t>
      </w:r>
      <w:r w:rsidR="00807F24">
        <w:rPr>
          <w:rFonts w:ascii="Calibre Regular" w:hAnsi="Calibre Regular" w:cs="Arial"/>
          <w:bCs/>
          <w:sz w:val="22"/>
          <w:szCs w:val="22"/>
        </w:rPr>
        <w:t xml:space="preserve">emphasizing impacts on </w:t>
      </w:r>
      <w:r w:rsidR="00D5514E">
        <w:rPr>
          <w:rFonts w:ascii="Calibre Regular" w:hAnsi="Calibre Regular" w:cs="Arial"/>
          <w:bCs/>
          <w:sz w:val="22"/>
          <w:szCs w:val="22"/>
        </w:rPr>
        <w:t xml:space="preserve">vulnerable </w:t>
      </w:r>
      <w:r w:rsidR="00807F24">
        <w:rPr>
          <w:rFonts w:ascii="Calibre Regular" w:hAnsi="Calibre Regular" w:cs="Arial"/>
          <w:bCs/>
          <w:sz w:val="22"/>
          <w:szCs w:val="22"/>
        </w:rPr>
        <w:t>communities like Paradise, California, which was devasted in 2018’s Camp Fire.</w:t>
      </w:r>
      <w:r w:rsidR="00DA77D0">
        <w:rPr>
          <w:rFonts w:ascii="Calibre Regular" w:hAnsi="Calibre Regular" w:cs="Arial"/>
          <w:bCs/>
          <w:sz w:val="22"/>
          <w:szCs w:val="22"/>
        </w:rPr>
        <w:t xml:space="preserve"> </w:t>
      </w:r>
    </w:p>
    <w:p w14:paraId="67BDF285" w14:textId="77777777" w:rsidR="00D5514E" w:rsidRDefault="00D5514E" w:rsidP="00DB7679">
      <w:pPr>
        <w:rPr>
          <w:rFonts w:ascii="Calibre Regular" w:hAnsi="Calibre Regular" w:cs="Arial"/>
          <w:bCs/>
          <w:sz w:val="22"/>
          <w:szCs w:val="22"/>
        </w:rPr>
      </w:pPr>
    </w:p>
    <w:p w14:paraId="67B5F130" w14:textId="5BB12DE1" w:rsidR="002767B3" w:rsidRDefault="00B617C5" w:rsidP="00DB7679">
      <w:pPr>
        <w:rPr>
          <w:rFonts w:ascii="Calibre Regular" w:hAnsi="Calibre Regular" w:cs="Arial"/>
          <w:bCs/>
          <w:sz w:val="22"/>
          <w:szCs w:val="22"/>
        </w:rPr>
      </w:pPr>
      <w:r>
        <w:rPr>
          <w:rFonts w:ascii="Calibre Regular" w:hAnsi="Calibre Regular" w:cs="Arial"/>
          <w:bCs/>
          <w:sz w:val="22"/>
          <w:szCs w:val="22"/>
        </w:rPr>
        <w:t>Existing</w:t>
      </w:r>
      <w:r w:rsidR="00DA77D0">
        <w:rPr>
          <w:rFonts w:ascii="Calibre Regular" w:hAnsi="Calibre Regular" w:cs="Arial"/>
          <w:bCs/>
          <w:sz w:val="22"/>
          <w:szCs w:val="22"/>
        </w:rPr>
        <w:t xml:space="preserve"> </w:t>
      </w:r>
      <w:r w:rsidR="00264E3D">
        <w:rPr>
          <w:rFonts w:ascii="Calibre Regular" w:hAnsi="Calibre Regular" w:cs="Arial"/>
          <w:bCs/>
          <w:sz w:val="22"/>
          <w:szCs w:val="22"/>
        </w:rPr>
        <w:t xml:space="preserve">scholarship has done little to clarify understanding of </w:t>
      </w:r>
      <w:r w:rsidR="00D5514E">
        <w:rPr>
          <w:rFonts w:ascii="Calibre Regular" w:hAnsi="Calibre Regular" w:cs="Arial"/>
          <w:bCs/>
          <w:sz w:val="22"/>
          <w:szCs w:val="22"/>
        </w:rPr>
        <w:t>the distributional incidence of wildfire risk.</w:t>
      </w:r>
      <w:r w:rsidR="004A0587">
        <w:rPr>
          <w:rFonts w:ascii="Calibre Regular" w:hAnsi="Calibre Regular" w:cs="Arial"/>
          <w:bCs/>
          <w:sz w:val="22"/>
          <w:szCs w:val="22"/>
        </w:rPr>
        <w:t xml:space="preserve"> While several studies have </w:t>
      </w:r>
      <w:r>
        <w:rPr>
          <w:rFonts w:ascii="Calibre Regular" w:hAnsi="Calibre Regular" w:cs="Arial"/>
          <w:bCs/>
          <w:sz w:val="22"/>
          <w:szCs w:val="22"/>
        </w:rPr>
        <w:t>overlaid measures of social vulnerability derived from Census data with spatial data describing wildfire hazard</w:t>
      </w:r>
      <w:r w:rsidR="00AE5A25">
        <w:rPr>
          <w:rFonts w:ascii="Calibre Regular" w:hAnsi="Calibre Regular" w:cs="Arial"/>
          <w:bCs/>
          <w:sz w:val="22"/>
          <w:szCs w:val="22"/>
        </w:rPr>
        <w:t xml:space="preserve"> (e.g. </w:t>
      </w:r>
      <w:proofErr w:type="spellStart"/>
      <w:r w:rsidR="00AE5A25">
        <w:rPr>
          <w:rFonts w:ascii="Calibre Regular" w:hAnsi="Calibre Regular" w:cs="Arial"/>
          <w:bCs/>
          <w:sz w:val="22"/>
          <w:szCs w:val="22"/>
        </w:rPr>
        <w:t>Wigtil</w:t>
      </w:r>
      <w:proofErr w:type="spellEnd"/>
      <w:r w:rsidR="00AE5A25">
        <w:rPr>
          <w:rFonts w:ascii="Calibre Regular" w:hAnsi="Calibre Regular" w:cs="Arial"/>
          <w:bCs/>
          <w:sz w:val="22"/>
          <w:szCs w:val="22"/>
        </w:rPr>
        <w:t xml:space="preserve"> et al. 2016, …)</w:t>
      </w:r>
      <w:r>
        <w:rPr>
          <w:rFonts w:ascii="Calibre Regular" w:hAnsi="Calibre Regular" w:cs="Arial"/>
          <w:bCs/>
          <w:sz w:val="22"/>
          <w:szCs w:val="22"/>
        </w:rPr>
        <w:t xml:space="preserve">, these studies have </w:t>
      </w:r>
      <w:r w:rsidR="007B5020">
        <w:rPr>
          <w:rFonts w:ascii="Calibre Regular" w:hAnsi="Calibre Regular" w:cs="Arial"/>
          <w:bCs/>
          <w:sz w:val="22"/>
          <w:szCs w:val="22"/>
        </w:rPr>
        <w:t>generally studied the</w:t>
      </w:r>
      <w:r w:rsidR="009D10CA">
        <w:rPr>
          <w:rFonts w:ascii="Calibre Regular" w:hAnsi="Calibre Regular" w:cs="Arial"/>
          <w:bCs/>
          <w:sz w:val="22"/>
          <w:szCs w:val="22"/>
        </w:rPr>
        <w:t xml:space="preserve"> relationship between wildfire hazard</w:t>
      </w:r>
      <w:r w:rsidR="007B5020">
        <w:rPr>
          <w:rFonts w:ascii="Calibre Regular" w:hAnsi="Calibre Regular" w:cs="Arial"/>
          <w:bCs/>
          <w:sz w:val="22"/>
          <w:szCs w:val="22"/>
        </w:rPr>
        <w:t xml:space="preserve"> and social vulnerability at national or broad regional scales, masking variation at finer scales. </w:t>
      </w:r>
    </w:p>
    <w:p w14:paraId="63453057" w14:textId="705C73D0" w:rsidR="002767B3" w:rsidRDefault="002767B3" w:rsidP="00DB7679">
      <w:pPr>
        <w:rPr>
          <w:rFonts w:ascii="Calibre Regular" w:hAnsi="Calibre Regular" w:cs="Arial"/>
          <w:bCs/>
          <w:sz w:val="22"/>
          <w:szCs w:val="22"/>
        </w:rPr>
      </w:pPr>
    </w:p>
    <w:p w14:paraId="25D3D638" w14:textId="6D130BB6" w:rsidR="002767B3" w:rsidRDefault="002767B3" w:rsidP="00DB7679">
      <w:pPr>
        <w:rPr>
          <w:rFonts w:ascii="Calibre Regular" w:hAnsi="Calibre Regular" w:cs="Arial"/>
          <w:bCs/>
          <w:sz w:val="22"/>
          <w:szCs w:val="22"/>
        </w:rPr>
      </w:pPr>
      <w:r>
        <w:rPr>
          <w:rFonts w:ascii="Calibre Regular" w:hAnsi="Calibre Regular" w:cs="Arial"/>
          <w:bCs/>
          <w:sz w:val="22"/>
          <w:szCs w:val="22"/>
        </w:rPr>
        <w:t xml:space="preserve">RFF will </w:t>
      </w:r>
      <w:r w:rsidR="001A6CDC">
        <w:rPr>
          <w:rFonts w:ascii="Calibre Regular" w:hAnsi="Calibre Regular" w:cs="Arial"/>
          <w:bCs/>
          <w:sz w:val="22"/>
          <w:szCs w:val="22"/>
        </w:rPr>
        <w:t xml:space="preserve">use property-level assessors’ data acquired from Zillow.com, as well as block group-level Census data, together with spatial wildfire hazard data to provide a more complete description of the social incidence of wildfire risk than has yet been provided. </w:t>
      </w:r>
      <w:r w:rsidR="000F01B6">
        <w:rPr>
          <w:rFonts w:ascii="Calibre Regular" w:hAnsi="Calibre Regular" w:cs="Arial"/>
          <w:bCs/>
          <w:sz w:val="22"/>
          <w:szCs w:val="22"/>
        </w:rPr>
        <w:t>W</w:t>
      </w:r>
      <w:r w:rsidR="001A6CDC">
        <w:rPr>
          <w:rFonts w:ascii="Calibre Regular" w:hAnsi="Calibre Regular" w:cs="Arial"/>
          <w:bCs/>
          <w:sz w:val="22"/>
          <w:szCs w:val="22"/>
        </w:rPr>
        <w:t xml:space="preserve">e will document to what extent wildfire risk is borne </w:t>
      </w:r>
      <w:r w:rsidR="001A6CDC">
        <w:rPr>
          <w:rFonts w:ascii="Calibre Regular" w:hAnsi="Calibre Regular" w:cs="Arial"/>
          <w:bCs/>
          <w:sz w:val="22"/>
          <w:szCs w:val="22"/>
        </w:rPr>
        <w:lastRenderedPageBreak/>
        <w:t>by</w:t>
      </w:r>
      <w:r w:rsidR="000F01B6">
        <w:rPr>
          <w:rFonts w:ascii="Calibre Regular" w:hAnsi="Calibre Regular" w:cs="Arial"/>
          <w:bCs/>
          <w:sz w:val="22"/>
          <w:szCs w:val="22"/>
        </w:rPr>
        <w:t xml:space="preserve"> owners of high-value versus low-value properties within each western US state. Similarly, </w:t>
      </w:r>
      <w:r w:rsidR="00C423A0">
        <w:rPr>
          <w:rFonts w:ascii="Calibre Regular" w:hAnsi="Calibre Regular" w:cs="Arial"/>
          <w:bCs/>
          <w:sz w:val="22"/>
          <w:szCs w:val="22"/>
        </w:rPr>
        <w:t xml:space="preserve">using Census data, </w:t>
      </w:r>
      <w:r w:rsidR="000F01B6">
        <w:rPr>
          <w:rFonts w:ascii="Calibre Regular" w:hAnsi="Calibre Regular" w:cs="Arial"/>
          <w:bCs/>
          <w:sz w:val="22"/>
          <w:szCs w:val="22"/>
        </w:rPr>
        <w:t>we will document whether wildfire ri</w:t>
      </w:r>
      <w:r w:rsidR="00C423A0">
        <w:rPr>
          <w:rFonts w:ascii="Calibre Regular" w:hAnsi="Calibre Regular" w:cs="Arial"/>
          <w:bCs/>
          <w:sz w:val="22"/>
          <w:szCs w:val="22"/>
        </w:rPr>
        <w:t>sk disproportionately affects older people</w:t>
      </w:r>
      <w:r w:rsidR="00E109F6">
        <w:rPr>
          <w:rFonts w:ascii="Calibre Regular" w:hAnsi="Calibre Regular" w:cs="Arial"/>
          <w:bCs/>
          <w:sz w:val="22"/>
          <w:szCs w:val="22"/>
        </w:rPr>
        <w:t xml:space="preserve"> and non-whites. </w:t>
      </w:r>
    </w:p>
    <w:p w14:paraId="0EB53EBB" w14:textId="5A3437EA" w:rsidR="00E109F6" w:rsidRDefault="00E109F6" w:rsidP="00DB7679">
      <w:pPr>
        <w:rPr>
          <w:rFonts w:ascii="Calibre Regular" w:hAnsi="Calibre Regular" w:cs="Arial"/>
          <w:bCs/>
          <w:sz w:val="22"/>
          <w:szCs w:val="22"/>
        </w:rPr>
      </w:pPr>
    </w:p>
    <w:p w14:paraId="51FD5FF8" w14:textId="2B4B5055" w:rsidR="00301405" w:rsidRPr="00DB7679" w:rsidRDefault="00E109F6" w:rsidP="00DB7679">
      <w:pPr>
        <w:rPr>
          <w:rFonts w:ascii="Calibre Regular" w:hAnsi="Calibre Regular" w:cs="Arial"/>
          <w:bCs/>
          <w:sz w:val="22"/>
          <w:szCs w:val="22"/>
        </w:rPr>
      </w:pPr>
      <w:r>
        <w:rPr>
          <w:rFonts w:ascii="Calibre Regular" w:hAnsi="Calibre Regular" w:cs="Arial"/>
          <w:bCs/>
          <w:sz w:val="22"/>
          <w:szCs w:val="22"/>
        </w:rPr>
        <w:t xml:space="preserve">This work </w:t>
      </w:r>
      <w:r w:rsidR="00E34356">
        <w:rPr>
          <w:rFonts w:ascii="Calibre Regular" w:hAnsi="Calibre Regular" w:cs="Arial"/>
          <w:bCs/>
          <w:sz w:val="22"/>
          <w:szCs w:val="22"/>
        </w:rPr>
        <w:t xml:space="preserve">will provide </w:t>
      </w:r>
      <w:r w:rsidR="001772CA">
        <w:rPr>
          <w:rFonts w:ascii="Calibre Regular" w:hAnsi="Calibre Regular" w:cs="Arial"/>
          <w:bCs/>
          <w:sz w:val="22"/>
          <w:szCs w:val="22"/>
        </w:rPr>
        <w:t xml:space="preserve">important </w:t>
      </w:r>
      <w:r w:rsidR="00E34356">
        <w:rPr>
          <w:rFonts w:ascii="Calibre Regular" w:hAnsi="Calibre Regular" w:cs="Arial"/>
          <w:bCs/>
          <w:sz w:val="22"/>
          <w:szCs w:val="22"/>
        </w:rPr>
        <w:t>context for</w:t>
      </w:r>
      <w:r w:rsidR="000520BE">
        <w:rPr>
          <w:rFonts w:ascii="Calibre Regular" w:hAnsi="Calibre Regular" w:cs="Arial"/>
          <w:bCs/>
          <w:sz w:val="22"/>
          <w:szCs w:val="22"/>
        </w:rPr>
        <w:t xml:space="preserve"> a wide variety of</w:t>
      </w:r>
      <w:r w:rsidR="001772CA">
        <w:rPr>
          <w:rFonts w:ascii="Calibre Regular" w:hAnsi="Calibre Regular" w:cs="Arial"/>
          <w:bCs/>
          <w:sz w:val="22"/>
          <w:szCs w:val="22"/>
        </w:rPr>
        <w:t xml:space="preserve"> policy discussions related to wildfire risk</w:t>
      </w:r>
      <w:r w:rsidR="000520BE">
        <w:rPr>
          <w:rFonts w:ascii="Calibre Regular" w:hAnsi="Calibre Regular" w:cs="Arial"/>
          <w:bCs/>
          <w:sz w:val="22"/>
          <w:szCs w:val="22"/>
        </w:rPr>
        <w:t xml:space="preserve">. </w:t>
      </w:r>
      <w:r w:rsidR="00196E9B">
        <w:rPr>
          <w:rFonts w:ascii="Calibre Regular" w:hAnsi="Calibre Regular" w:cs="Arial"/>
          <w:bCs/>
          <w:sz w:val="22"/>
          <w:szCs w:val="22"/>
        </w:rPr>
        <w:t>In considering</w:t>
      </w:r>
      <w:r w:rsidR="000520BE">
        <w:rPr>
          <w:rFonts w:ascii="Calibre Regular" w:hAnsi="Calibre Regular" w:cs="Arial"/>
          <w:bCs/>
          <w:sz w:val="22"/>
          <w:szCs w:val="22"/>
        </w:rPr>
        <w:t xml:space="preserve"> </w:t>
      </w:r>
      <w:r w:rsidR="00196E9B">
        <w:rPr>
          <w:rFonts w:ascii="Calibre Regular" w:hAnsi="Calibre Regular" w:cs="Arial"/>
          <w:bCs/>
          <w:sz w:val="22"/>
          <w:szCs w:val="22"/>
        </w:rPr>
        <w:t>policy interventions in the insurance market,</w:t>
      </w:r>
      <w:r w:rsidR="00F15D23">
        <w:rPr>
          <w:rFonts w:ascii="Calibre Regular" w:hAnsi="Calibre Regular" w:cs="Arial"/>
          <w:bCs/>
          <w:sz w:val="22"/>
          <w:szCs w:val="22"/>
        </w:rPr>
        <w:t xml:space="preserve"> reforms to liability laws, building codes and land use </w:t>
      </w:r>
      <w:r w:rsidR="00070A61">
        <w:rPr>
          <w:rFonts w:ascii="Calibre Regular" w:hAnsi="Calibre Regular" w:cs="Arial"/>
          <w:bCs/>
          <w:sz w:val="22"/>
          <w:szCs w:val="22"/>
        </w:rPr>
        <w:t>restrictions</w:t>
      </w:r>
      <w:r w:rsidR="00E56C55">
        <w:rPr>
          <w:rFonts w:ascii="Calibre Regular" w:hAnsi="Calibre Regular" w:cs="Arial"/>
          <w:bCs/>
          <w:sz w:val="22"/>
          <w:szCs w:val="22"/>
        </w:rPr>
        <w:t xml:space="preserve">, and how and where forests can be </w:t>
      </w:r>
      <w:r w:rsidR="007E0563">
        <w:rPr>
          <w:rFonts w:ascii="Calibre Regular" w:hAnsi="Calibre Regular" w:cs="Arial"/>
          <w:bCs/>
          <w:sz w:val="22"/>
          <w:szCs w:val="22"/>
        </w:rPr>
        <w:t>restored to reduce wildfire risk, policy makers and the public need to understand who will benefit. This research will bring necessary clarity to th</w:t>
      </w:r>
      <w:r w:rsidR="00F66361">
        <w:rPr>
          <w:rFonts w:ascii="Calibre Regular" w:hAnsi="Calibre Regular" w:cs="Arial"/>
          <w:bCs/>
          <w:sz w:val="22"/>
          <w:szCs w:val="22"/>
        </w:rPr>
        <w:t>is topic</w:t>
      </w:r>
      <w:r w:rsidR="007E0563">
        <w:rPr>
          <w:rFonts w:ascii="Calibre Regular" w:hAnsi="Calibre Regular" w:cs="Arial"/>
          <w:bCs/>
          <w:sz w:val="22"/>
          <w:szCs w:val="22"/>
        </w:rPr>
        <w:t>.</w:t>
      </w:r>
    </w:p>
    <w:p w14:paraId="68BD420A" w14:textId="77777777" w:rsidR="00DB7679" w:rsidRDefault="00DB7679" w:rsidP="00DB7679">
      <w:pPr>
        <w:rPr>
          <w:rFonts w:ascii="Calibre Regular" w:hAnsi="Calibre Regular" w:cs="Arial"/>
          <w:bCs/>
          <w:sz w:val="22"/>
          <w:szCs w:val="22"/>
        </w:rPr>
      </w:pPr>
    </w:p>
    <w:p w14:paraId="4B3351C7" w14:textId="5A967EA6" w:rsidR="00F66361" w:rsidRDefault="00104F09" w:rsidP="00DB7679">
      <w:pPr>
        <w:pStyle w:val="ListParagraph"/>
        <w:numPr>
          <w:ilvl w:val="0"/>
          <w:numId w:val="17"/>
        </w:numPr>
        <w:rPr>
          <w:rFonts w:ascii="Calibre Regular" w:hAnsi="Calibre Regular" w:cs="Arial"/>
          <w:bCs/>
          <w:sz w:val="22"/>
          <w:szCs w:val="22"/>
        </w:rPr>
      </w:pPr>
      <w:r>
        <w:rPr>
          <w:rFonts w:ascii="Calibre Regular" w:hAnsi="Calibre Regular" w:cs="Arial"/>
          <w:bCs/>
          <w:sz w:val="22"/>
          <w:szCs w:val="22"/>
        </w:rPr>
        <w:t xml:space="preserve">Household </w:t>
      </w:r>
      <w:r w:rsidR="00DB7679">
        <w:rPr>
          <w:rFonts w:ascii="Calibre Regular" w:hAnsi="Calibre Regular" w:cs="Arial"/>
          <w:bCs/>
          <w:sz w:val="22"/>
          <w:szCs w:val="22"/>
        </w:rPr>
        <w:t>Sorting over Wildfire Risk</w:t>
      </w:r>
    </w:p>
    <w:p w14:paraId="5E9525D5" w14:textId="5A8591D3" w:rsidR="00F66361" w:rsidRDefault="00F66361" w:rsidP="00F66361">
      <w:pPr>
        <w:rPr>
          <w:rFonts w:ascii="Calibre Regular" w:hAnsi="Calibre Regular" w:cs="Arial"/>
          <w:bCs/>
          <w:sz w:val="22"/>
          <w:szCs w:val="22"/>
        </w:rPr>
      </w:pPr>
    </w:p>
    <w:p w14:paraId="0B23D70D" w14:textId="77777777" w:rsidR="00D85A62" w:rsidRDefault="00104F09" w:rsidP="00F66361">
      <w:pPr>
        <w:rPr>
          <w:rFonts w:ascii="Calibre Regular" w:hAnsi="Calibre Regular" w:cs="Arial"/>
          <w:bCs/>
          <w:sz w:val="22"/>
          <w:szCs w:val="22"/>
        </w:rPr>
      </w:pPr>
      <w:r>
        <w:rPr>
          <w:rFonts w:ascii="Calibre Regular" w:hAnsi="Calibre Regular" w:cs="Arial"/>
          <w:bCs/>
          <w:sz w:val="22"/>
          <w:szCs w:val="22"/>
        </w:rPr>
        <w:t xml:space="preserve">As wildfire activity increases, costs of living in high wildfire hazard areas are expected to </w:t>
      </w:r>
      <w:r w:rsidR="00381571">
        <w:rPr>
          <w:rFonts w:ascii="Calibre Regular" w:hAnsi="Calibre Regular" w:cs="Arial"/>
          <w:bCs/>
          <w:sz w:val="22"/>
          <w:szCs w:val="22"/>
        </w:rPr>
        <w:t>increase, both as costs of wildfire risk trickle down to homeowners (as through increases in insurance premiums), and due to policies expressly targeted toward reducing wildfire risk. Examples of the latter include building codes and land use laws, as well as policies that are, at least in part, intended to disincentivize further development in high wildfire risk areas, such as wildfire fees and utility rate differential</w:t>
      </w:r>
      <w:r w:rsidR="007E06D4">
        <w:rPr>
          <w:rFonts w:ascii="Calibre Regular" w:hAnsi="Calibre Regular" w:cs="Arial"/>
          <w:bCs/>
          <w:sz w:val="22"/>
          <w:szCs w:val="22"/>
        </w:rPr>
        <w:t xml:space="preserve">s. </w:t>
      </w:r>
    </w:p>
    <w:p w14:paraId="395F9968" w14:textId="77777777" w:rsidR="00D85A62" w:rsidRDefault="00D85A62" w:rsidP="00F66361">
      <w:pPr>
        <w:rPr>
          <w:rFonts w:ascii="Calibre Regular" w:hAnsi="Calibre Regular" w:cs="Arial"/>
          <w:bCs/>
          <w:sz w:val="22"/>
          <w:szCs w:val="22"/>
        </w:rPr>
      </w:pPr>
    </w:p>
    <w:p w14:paraId="283C595F" w14:textId="6FF814F6" w:rsidR="006E0849" w:rsidRDefault="00D85A62" w:rsidP="00F66361">
      <w:pPr>
        <w:rPr>
          <w:rFonts w:ascii="Calibre Regular" w:hAnsi="Calibre Regular" w:cs="Arial"/>
          <w:bCs/>
          <w:sz w:val="22"/>
          <w:szCs w:val="22"/>
        </w:rPr>
      </w:pPr>
      <w:r>
        <w:rPr>
          <w:rFonts w:ascii="Calibre Regular" w:hAnsi="Calibre Regular" w:cs="Arial"/>
          <w:bCs/>
          <w:sz w:val="22"/>
          <w:szCs w:val="22"/>
        </w:rPr>
        <w:t>However, it is unclear h</w:t>
      </w:r>
      <w:r w:rsidR="00BD0F95">
        <w:rPr>
          <w:rFonts w:ascii="Calibre Regular" w:hAnsi="Calibre Regular" w:cs="Arial"/>
          <w:bCs/>
          <w:sz w:val="22"/>
          <w:szCs w:val="22"/>
        </w:rPr>
        <w:t>ow</w:t>
      </w:r>
      <w:r w:rsidR="007E06D4">
        <w:rPr>
          <w:rFonts w:ascii="Calibre Regular" w:hAnsi="Calibre Regular" w:cs="Arial"/>
          <w:bCs/>
          <w:sz w:val="22"/>
          <w:szCs w:val="22"/>
        </w:rPr>
        <w:t xml:space="preserve"> cost</w:t>
      </w:r>
      <w:r w:rsidR="009F61FB">
        <w:rPr>
          <w:rFonts w:ascii="Calibre Regular" w:hAnsi="Calibre Regular" w:cs="Arial"/>
          <w:bCs/>
          <w:sz w:val="22"/>
          <w:szCs w:val="22"/>
        </w:rPr>
        <w:t>-</w:t>
      </w:r>
      <w:r w:rsidR="007E06D4">
        <w:rPr>
          <w:rFonts w:ascii="Calibre Regular" w:hAnsi="Calibre Regular" w:cs="Arial"/>
          <w:bCs/>
          <w:sz w:val="22"/>
          <w:szCs w:val="22"/>
        </w:rPr>
        <w:t>of</w:t>
      </w:r>
      <w:r w:rsidR="009F61FB">
        <w:rPr>
          <w:rFonts w:ascii="Calibre Regular" w:hAnsi="Calibre Regular" w:cs="Arial"/>
          <w:bCs/>
          <w:sz w:val="22"/>
          <w:szCs w:val="22"/>
        </w:rPr>
        <w:t>-</w:t>
      </w:r>
      <w:r w:rsidR="007E06D4">
        <w:rPr>
          <w:rFonts w:ascii="Calibre Regular" w:hAnsi="Calibre Regular" w:cs="Arial"/>
          <w:bCs/>
          <w:sz w:val="22"/>
          <w:szCs w:val="22"/>
        </w:rPr>
        <w:t>livin</w:t>
      </w:r>
      <w:r w:rsidR="009F61FB">
        <w:rPr>
          <w:rFonts w:ascii="Calibre Regular" w:hAnsi="Calibre Regular" w:cs="Arial"/>
          <w:bCs/>
          <w:sz w:val="22"/>
          <w:szCs w:val="22"/>
        </w:rPr>
        <w:t>g increases</w:t>
      </w:r>
      <w:r w:rsidR="00BD0F95">
        <w:rPr>
          <w:rFonts w:ascii="Calibre Regular" w:hAnsi="Calibre Regular" w:cs="Arial"/>
          <w:bCs/>
          <w:sz w:val="22"/>
          <w:szCs w:val="22"/>
        </w:rPr>
        <w:t xml:space="preserve"> will affect household welfare, </w:t>
      </w:r>
      <w:r>
        <w:rPr>
          <w:rFonts w:ascii="Calibre Regular" w:hAnsi="Calibre Regular" w:cs="Arial"/>
          <w:bCs/>
          <w:sz w:val="22"/>
          <w:szCs w:val="22"/>
        </w:rPr>
        <w:t xml:space="preserve">household </w:t>
      </w:r>
      <w:r w:rsidR="00BD0F95">
        <w:rPr>
          <w:rFonts w:ascii="Calibre Regular" w:hAnsi="Calibre Regular" w:cs="Arial"/>
          <w:bCs/>
          <w:sz w:val="22"/>
          <w:szCs w:val="22"/>
        </w:rPr>
        <w:t xml:space="preserve">decisions regarding </w:t>
      </w:r>
      <w:r>
        <w:rPr>
          <w:rFonts w:ascii="Calibre Regular" w:hAnsi="Calibre Regular" w:cs="Arial"/>
          <w:bCs/>
          <w:sz w:val="22"/>
          <w:szCs w:val="22"/>
        </w:rPr>
        <w:t>whether to live in a high wildfire hazard area (what economists refer to as “sorting” decisions), and who lives in these areas.</w:t>
      </w:r>
      <w:r w:rsidR="00BD0F95">
        <w:rPr>
          <w:rFonts w:ascii="Calibre Regular" w:hAnsi="Calibre Regular" w:cs="Arial"/>
          <w:bCs/>
          <w:sz w:val="22"/>
          <w:szCs w:val="22"/>
        </w:rPr>
        <w:t xml:space="preserve"> </w:t>
      </w:r>
      <w:r w:rsidR="006E0849">
        <w:rPr>
          <w:rFonts w:ascii="Calibre Regular" w:hAnsi="Calibre Regular" w:cs="Arial"/>
          <w:bCs/>
          <w:sz w:val="22"/>
          <w:szCs w:val="22"/>
        </w:rPr>
        <w:t>How such policies will shape the future of the wildland-urban interface depends on the extent to which</w:t>
      </w:r>
      <w:r>
        <w:rPr>
          <w:rFonts w:ascii="Calibre Regular" w:hAnsi="Calibre Regular" w:cs="Arial"/>
          <w:bCs/>
          <w:sz w:val="22"/>
          <w:szCs w:val="22"/>
        </w:rPr>
        <w:t xml:space="preserve"> households are willing to trade</w:t>
      </w:r>
      <w:r w:rsidR="000B702E">
        <w:rPr>
          <w:rFonts w:ascii="Calibre Regular" w:hAnsi="Calibre Regular" w:cs="Arial"/>
          <w:bCs/>
          <w:sz w:val="22"/>
          <w:szCs w:val="22"/>
        </w:rPr>
        <w:t xml:space="preserve"> increased cost-of-living for the amenities associated with living in</w:t>
      </w:r>
      <w:r w:rsidR="006E0849">
        <w:rPr>
          <w:rFonts w:ascii="Calibre Regular" w:hAnsi="Calibre Regular" w:cs="Arial"/>
          <w:bCs/>
          <w:sz w:val="22"/>
          <w:szCs w:val="22"/>
        </w:rPr>
        <w:t xml:space="preserve"> high fire hazard areas</w:t>
      </w:r>
      <w:r w:rsidR="006A09EE">
        <w:rPr>
          <w:rFonts w:ascii="Calibre Regular" w:hAnsi="Calibre Regular" w:cs="Arial"/>
          <w:bCs/>
          <w:sz w:val="22"/>
          <w:szCs w:val="22"/>
        </w:rPr>
        <w:t>, and which households are willing to make that trade.</w:t>
      </w:r>
    </w:p>
    <w:p w14:paraId="05438DC2" w14:textId="77777777" w:rsidR="006E0849" w:rsidRDefault="006E0849" w:rsidP="00F66361">
      <w:pPr>
        <w:rPr>
          <w:rFonts w:ascii="Calibre Regular" w:hAnsi="Calibre Regular" w:cs="Arial"/>
          <w:bCs/>
          <w:sz w:val="22"/>
          <w:szCs w:val="22"/>
        </w:rPr>
      </w:pPr>
    </w:p>
    <w:p w14:paraId="3D32B732" w14:textId="0F16840E" w:rsidR="00430199" w:rsidRDefault="00396709" w:rsidP="00F66361">
      <w:pPr>
        <w:rPr>
          <w:rFonts w:ascii="Calibre Regular" w:hAnsi="Calibre Regular" w:cs="Arial"/>
          <w:bCs/>
          <w:sz w:val="22"/>
          <w:szCs w:val="22"/>
        </w:rPr>
      </w:pPr>
      <w:r>
        <w:rPr>
          <w:rFonts w:ascii="Calibre Regular" w:hAnsi="Calibre Regular" w:cs="Arial"/>
          <w:bCs/>
          <w:sz w:val="22"/>
          <w:szCs w:val="22"/>
        </w:rPr>
        <w:t xml:space="preserve">To address these questions, RFF proposes to provide the first study of household sorting over wildfire </w:t>
      </w:r>
      <w:r w:rsidR="00BD0C02">
        <w:rPr>
          <w:rFonts w:ascii="Calibre Regular" w:hAnsi="Calibre Regular" w:cs="Arial"/>
          <w:bCs/>
          <w:sz w:val="22"/>
          <w:szCs w:val="22"/>
        </w:rPr>
        <w:t>risk. We will use data regarding property sales from Zillow.com</w:t>
      </w:r>
      <w:r w:rsidR="00380906">
        <w:rPr>
          <w:rFonts w:ascii="Calibre Regular" w:hAnsi="Calibre Regular" w:cs="Arial"/>
          <w:bCs/>
          <w:sz w:val="22"/>
          <w:szCs w:val="22"/>
        </w:rPr>
        <w:t xml:space="preserve">, merged with anonymized borrower data from the Home Mortgage Disclosure Act data set, </w:t>
      </w:r>
      <w:r w:rsidR="00BD0C02">
        <w:rPr>
          <w:rFonts w:ascii="Calibre Regular" w:hAnsi="Calibre Regular" w:cs="Arial"/>
          <w:bCs/>
          <w:sz w:val="22"/>
          <w:szCs w:val="22"/>
        </w:rPr>
        <w:t xml:space="preserve">within a discrete choice modeling framework in order to understand </w:t>
      </w:r>
      <w:r w:rsidR="00380906">
        <w:rPr>
          <w:rFonts w:ascii="Calibre Regular" w:hAnsi="Calibre Regular" w:cs="Arial"/>
          <w:bCs/>
          <w:sz w:val="22"/>
          <w:szCs w:val="22"/>
        </w:rPr>
        <w:t xml:space="preserve">household decisions </w:t>
      </w:r>
      <w:r w:rsidR="001975C4">
        <w:rPr>
          <w:rFonts w:ascii="Calibre Regular" w:hAnsi="Calibre Regular" w:cs="Arial"/>
          <w:bCs/>
          <w:sz w:val="22"/>
          <w:szCs w:val="22"/>
        </w:rPr>
        <w:t>with respect to wildfire risk</w:t>
      </w:r>
      <w:r w:rsidR="00380906">
        <w:rPr>
          <w:rFonts w:ascii="Calibre Regular" w:hAnsi="Calibre Regular" w:cs="Arial"/>
          <w:bCs/>
          <w:sz w:val="22"/>
          <w:szCs w:val="22"/>
        </w:rPr>
        <w:t>.</w:t>
      </w:r>
      <w:r w:rsidR="001975C4">
        <w:rPr>
          <w:rFonts w:ascii="Calibre Regular" w:hAnsi="Calibre Regular" w:cs="Arial"/>
          <w:bCs/>
          <w:sz w:val="22"/>
          <w:szCs w:val="22"/>
        </w:rPr>
        <w:t xml:space="preserve"> </w:t>
      </w:r>
      <w:r w:rsidR="00441460">
        <w:rPr>
          <w:rFonts w:ascii="Calibre Regular" w:hAnsi="Calibre Regular" w:cs="Arial"/>
          <w:bCs/>
          <w:sz w:val="22"/>
          <w:szCs w:val="22"/>
        </w:rPr>
        <w:t xml:space="preserve">Our study will use a modern discrete choice modeling framework that </w:t>
      </w:r>
      <w:r w:rsidR="00C6323B">
        <w:rPr>
          <w:rFonts w:ascii="Calibre Regular" w:hAnsi="Calibre Regular" w:cs="Arial"/>
          <w:bCs/>
          <w:sz w:val="22"/>
          <w:szCs w:val="22"/>
        </w:rPr>
        <w:t xml:space="preserve">allows household preferences over property characteristics, amenities, and wildfire risk to vary across household types. </w:t>
      </w:r>
      <w:r w:rsidR="004B75B5">
        <w:rPr>
          <w:rFonts w:ascii="Calibre Regular" w:hAnsi="Calibre Regular" w:cs="Arial"/>
          <w:bCs/>
          <w:sz w:val="22"/>
          <w:szCs w:val="22"/>
        </w:rPr>
        <w:t>We will account for endogeneity of home prices to unobserved property and neighborhood characteristics using a well-established instrumental variables strategy developed by Bayer and Timmins (2007)</w:t>
      </w:r>
      <w:r w:rsidR="002712C6">
        <w:rPr>
          <w:rFonts w:ascii="Calibre Regular" w:hAnsi="Calibre Regular" w:cs="Arial"/>
          <w:bCs/>
          <w:sz w:val="22"/>
          <w:szCs w:val="22"/>
        </w:rPr>
        <w:t>. W</w:t>
      </w:r>
      <w:r w:rsidR="004B75B5">
        <w:rPr>
          <w:rFonts w:ascii="Calibre Regular" w:hAnsi="Calibre Regular" w:cs="Arial"/>
          <w:bCs/>
          <w:sz w:val="22"/>
          <w:szCs w:val="22"/>
        </w:rPr>
        <w:t>e will address</w:t>
      </w:r>
      <w:r w:rsidR="002712C6">
        <w:rPr>
          <w:rFonts w:ascii="Calibre Regular" w:hAnsi="Calibre Regular" w:cs="Arial"/>
          <w:bCs/>
          <w:sz w:val="22"/>
          <w:szCs w:val="22"/>
        </w:rPr>
        <w:t xml:space="preserve"> endogeneity of wildfire hazard to unobserved amenities with a quasi-experimental approach using changes in perceptions of wildfire hazard in the wake of large damaging wildfire incidents</w:t>
      </w:r>
      <w:r w:rsidR="00430199">
        <w:rPr>
          <w:rFonts w:ascii="Calibre Regular" w:hAnsi="Calibre Regular" w:cs="Arial"/>
          <w:bCs/>
          <w:sz w:val="22"/>
          <w:szCs w:val="22"/>
        </w:rPr>
        <w:t xml:space="preserve"> (McCoy and Walsh 2018</w:t>
      </w:r>
      <w:r w:rsidR="00362931">
        <w:rPr>
          <w:rFonts w:ascii="Calibre Regular" w:hAnsi="Calibre Regular" w:cs="Arial"/>
          <w:bCs/>
          <w:sz w:val="22"/>
          <w:szCs w:val="22"/>
        </w:rPr>
        <w:t>,</w:t>
      </w:r>
      <w:r w:rsidR="00362931" w:rsidRPr="00362931">
        <w:rPr>
          <w:rFonts w:ascii="Calibre Regular" w:hAnsi="Calibre Regular" w:cs="Arial"/>
          <w:bCs/>
          <w:sz w:val="22"/>
          <w:szCs w:val="22"/>
        </w:rPr>
        <w:t xml:space="preserve"> </w:t>
      </w:r>
      <w:r w:rsidR="00362931">
        <w:rPr>
          <w:rFonts w:ascii="Calibre Regular" w:hAnsi="Calibre Regular" w:cs="Arial"/>
          <w:bCs/>
          <w:sz w:val="22"/>
          <w:szCs w:val="22"/>
        </w:rPr>
        <w:t>Wibbenmeyer et al. 2019</w:t>
      </w:r>
      <w:r w:rsidR="00430199">
        <w:rPr>
          <w:rFonts w:ascii="Calibre Regular" w:hAnsi="Calibre Regular" w:cs="Arial"/>
          <w:bCs/>
          <w:sz w:val="22"/>
          <w:szCs w:val="22"/>
        </w:rPr>
        <w:t>).</w:t>
      </w:r>
    </w:p>
    <w:p w14:paraId="629E3DCC" w14:textId="6BB5A907" w:rsidR="00430199" w:rsidRDefault="00430199" w:rsidP="00F66361">
      <w:pPr>
        <w:rPr>
          <w:rFonts w:ascii="Calibre Regular" w:hAnsi="Calibre Regular" w:cs="Arial"/>
          <w:bCs/>
          <w:sz w:val="22"/>
          <w:szCs w:val="22"/>
        </w:rPr>
      </w:pPr>
    </w:p>
    <w:p w14:paraId="33225D4A" w14:textId="3E74B037" w:rsidR="00430199" w:rsidRDefault="00430199" w:rsidP="00F66361">
      <w:pPr>
        <w:rPr>
          <w:rFonts w:ascii="Calibre Regular" w:hAnsi="Calibre Regular" w:cs="Arial"/>
          <w:bCs/>
          <w:sz w:val="22"/>
          <w:szCs w:val="22"/>
        </w:rPr>
      </w:pPr>
      <w:r>
        <w:rPr>
          <w:rFonts w:ascii="Calibre Regular" w:hAnsi="Calibre Regular" w:cs="Arial"/>
          <w:bCs/>
          <w:sz w:val="22"/>
          <w:szCs w:val="22"/>
        </w:rPr>
        <w:t xml:space="preserve">While </w:t>
      </w:r>
      <w:r w:rsidR="00712A02">
        <w:rPr>
          <w:rFonts w:ascii="Calibre Regular" w:hAnsi="Calibre Regular" w:cs="Arial"/>
          <w:bCs/>
          <w:sz w:val="22"/>
          <w:szCs w:val="22"/>
        </w:rPr>
        <w:t xml:space="preserve">there is some limited evidence available regarding </w:t>
      </w:r>
      <w:r w:rsidR="00362931">
        <w:rPr>
          <w:rFonts w:ascii="Calibre Regular" w:hAnsi="Calibre Regular" w:cs="Arial"/>
          <w:bCs/>
          <w:sz w:val="22"/>
          <w:szCs w:val="22"/>
        </w:rPr>
        <w:t>the effects of amenities correlated with fire hazard on property values (</w:t>
      </w:r>
      <w:proofErr w:type="spellStart"/>
      <w:r w:rsidR="00362931">
        <w:rPr>
          <w:rFonts w:ascii="Calibre Regular" w:hAnsi="Calibre Regular" w:cs="Arial"/>
          <w:bCs/>
          <w:sz w:val="22"/>
          <w:szCs w:val="22"/>
        </w:rPr>
        <w:t>Stetler</w:t>
      </w:r>
      <w:proofErr w:type="spellEnd"/>
      <w:r w:rsidR="00362931">
        <w:rPr>
          <w:rFonts w:ascii="Calibre Regular" w:hAnsi="Calibre Regular" w:cs="Arial"/>
          <w:bCs/>
          <w:sz w:val="22"/>
          <w:szCs w:val="22"/>
        </w:rPr>
        <w:t xml:space="preserve"> et al. 2010), and on how fires affect property values (McCoy and Walsh 2018), no previous studies have examined how wildfire hazard and amenities affect household location decisions. In the flood context, such analysis has been useful for analyzing</w:t>
      </w:r>
      <w:r w:rsidR="00EE7A95">
        <w:rPr>
          <w:rFonts w:ascii="Calibre Regular" w:hAnsi="Calibre Regular" w:cs="Arial"/>
          <w:bCs/>
          <w:sz w:val="22"/>
          <w:szCs w:val="22"/>
        </w:rPr>
        <w:t xml:space="preserve"> </w:t>
      </w:r>
      <w:r w:rsidR="00B131DA">
        <w:rPr>
          <w:rFonts w:ascii="Calibre Regular" w:hAnsi="Calibre Regular" w:cs="Arial"/>
          <w:bCs/>
          <w:sz w:val="22"/>
          <w:szCs w:val="22"/>
        </w:rPr>
        <w:t xml:space="preserve">potential changes to flood insurance policy, how those changes might affect demand for housing in flood plains, </w:t>
      </w:r>
      <w:r w:rsidR="006164C0">
        <w:rPr>
          <w:rFonts w:ascii="Calibre Regular" w:hAnsi="Calibre Regular" w:cs="Arial"/>
          <w:bCs/>
          <w:sz w:val="22"/>
          <w:szCs w:val="22"/>
        </w:rPr>
        <w:t>and</w:t>
      </w:r>
      <w:r w:rsidR="00B131DA">
        <w:rPr>
          <w:rFonts w:ascii="Calibre Regular" w:hAnsi="Calibre Regular" w:cs="Arial"/>
          <w:bCs/>
          <w:sz w:val="22"/>
          <w:szCs w:val="22"/>
        </w:rPr>
        <w:t xml:space="preserve"> who is more likely to live in areas with high flood risk</w:t>
      </w:r>
      <w:r w:rsidR="00DC524E">
        <w:rPr>
          <w:rFonts w:ascii="Calibre Regular" w:hAnsi="Calibre Regular" w:cs="Arial"/>
          <w:bCs/>
          <w:sz w:val="22"/>
          <w:szCs w:val="22"/>
        </w:rPr>
        <w:t xml:space="preserve"> (</w:t>
      </w:r>
      <w:proofErr w:type="spellStart"/>
      <w:r w:rsidR="00DC524E">
        <w:rPr>
          <w:rFonts w:ascii="Calibre Regular" w:hAnsi="Calibre Regular" w:cs="Arial"/>
          <w:bCs/>
          <w:sz w:val="22"/>
          <w:szCs w:val="22"/>
        </w:rPr>
        <w:t>Bakkensen</w:t>
      </w:r>
      <w:proofErr w:type="spellEnd"/>
      <w:r w:rsidR="00DC524E">
        <w:rPr>
          <w:rFonts w:ascii="Calibre Regular" w:hAnsi="Calibre Regular" w:cs="Arial"/>
          <w:bCs/>
          <w:sz w:val="22"/>
          <w:szCs w:val="22"/>
        </w:rPr>
        <w:t xml:space="preserve"> and Ma 2019). </w:t>
      </w:r>
      <w:r w:rsidR="000D1506">
        <w:rPr>
          <w:rFonts w:ascii="Calibre Regular" w:hAnsi="Calibre Regular" w:cs="Arial"/>
          <w:bCs/>
          <w:sz w:val="22"/>
          <w:szCs w:val="22"/>
        </w:rPr>
        <w:t xml:space="preserve">Similarly, our model will be capable of simulating effects of various wildfire risk policies on household sorting over fire risk. As wildfire activity continues to increase over time, </w:t>
      </w:r>
    </w:p>
    <w:p w14:paraId="0D778DBB" w14:textId="77777777" w:rsidR="00104F09" w:rsidRDefault="00104F09" w:rsidP="00F66361">
      <w:pPr>
        <w:rPr>
          <w:rFonts w:ascii="Calibre Regular" w:hAnsi="Calibre Regular" w:cs="Arial"/>
          <w:bCs/>
          <w:sz w:val="22"/>
          <w:szCs w:val="22"/>
        </w:rPr>
      </w:pPr>
    </w:p>
    <w:p w14:paraId="3A8DC32D" w14:textId="6B856F09" w:rsidR="003D1033" w:rsidRDefault="003D1033">
      <w:pPr>
        <w:rPr>
          <w:rFonts w:ascii="Calibre Regular" w:hAnsi="Calibre Regular" w:cs="Arial"/>
          <w:bCs/>
          <w:sz w:val="22"/>
          <w:szCs w:val="22"/>
        </w:rPr>
      </w:pPr>
    </w:p>
    <w:p w14:paraId="7901965D" w14:textId="77777777" w:rsidR="003D1033" w:rsidRDefault="003D1033">
      <w:pPr>
        <w:rPr>
          <w:rFonts w:ascii="Calibre Regular" w:hAnsi="Calibre Regular" w:cs="Arial"/>
          <w:bCs/>
          <w:sz w:val="22"/>
          <w:szCs w:val="22"/>
        </w:rPr>
      </w:pPr>
    </w:p>
    <w:p w14:paraId="1BA7D0A5" w14:textId="0FFC10AD" w:rsidR="00FA5E28" w:rsidRDefault="00FA5E28">
      <w:pPr>
        <w:rPr>
          <w:rFonts w:ascii="Calibre Regular" w:hAnsi="Calibre Regular" w:cs="Arial"/>
          <w:bCs/>
          <w:sz w:val="22"/>
          <w:szCs w:val="22"/>
        </w:rPr>
      </w:pPr>
    </w:p>
    <w:p w14:paraId="6347FF2F" w14:textId="7750E430" w:rsidR="00DA1129" w:rsidRDefault="00931AE3" w:rsidP="00AC4E3C">
      <w:pPr>
        <w:rPr>
          <w:rFonts w:ascii="Calibre Regular" w:hAnsi="Calibre Regular" w:cs="Arial"/>
          <w:b/>
          <w:sz w:val="22"/>
          <w:szCs w:val="22"/>
        </w:rPr>
      </w:pPr>
      <w:r>
        <w:rPr>
          <w:rFonts w:ascii="Calibre Regular" w:hAnsi="Calibre Regular" w:cs="Arial"/>
          <w:bCs/>
          <w:sz w:val="22"/>
          <w:szCs w:val="22"/>
        </w:rPr>
        <w:t xml:space="preserve"> </w:t>
      </w:r>
      <w:r w:rsidR="00E02B45">
        <w:rPr>
          <w:rFonts w:ascii="Calibre Regular" w:hAnsi="Calibre Regular" w:cs="Arial"/>
          <w:b/>
          <w:sz w:val="22"/>
          <w:szCs w:val="22"/>
        </w:rPr>
        <w:br w:type="page"/>
      </w:r>
      <w:r w:rsidR="00E02B45" w:rsidRPr="008C374C">
        <w:rPr>
          <w:rFonts w:ascii="Calibre Regular" w:hAnsi="Calibre Regular" w:cs="Arial"/>
          <w:b/>
          <w:sz w:val="22"/>
          <w:szCs w:val="22"/>
        </w:rPr>
        <w:lastRenderedPageBreak/>
        <w:t xml:space="preserve">Attachment 1: Key </w:t>
      </w:r>
      <w:proofErr w:type="gramStart"/>
      <w:r w:rsidR="00E02B45" w:rsidRPr="008C374C">
        <w:rPr>
          <w:rFonts w:ascii="Calibre Regular" w:hAnsi="Calibre Regular" w:cs="Arial"/>
          <w:b/>
          <w:sz w:val="22"/>
          <w:szCs w:val="22"/>
        </w:rPr>
        <w:t>Personnel</w:t>
      </w:r>
      <w:r w:rsidR="00B2532A">
        <w:rPr>
          <w:rFonts w:ascii="Calibre Regular" w:hAnsi="Calibre Regular" w:cs="Arial"/>
          <w:b/>
          <w:sz w:val="22"/>
          <w:szCs w:val="22"/>
        </w:rPr>
        <w:t xml:space="preserve">  -</w:t>
      </w:r>
      <w:proofErr w:type="gramEnd"/>
      <w:r w:rsidR="00B2532A">
        <w:rPr>
          <w:rFonts w:ascii="Calibre Regular" w:hAnsi="Calibre Regular" w:cs="Arial"/>
          <w:b/>
          <w:sz w:val="22"/>
          <w:szCs w:val="22"/>
        </w:rPr>
        <w:t xml:space="preserve"> </w:t>
      </w:r>
      <w:r w:rsidR="00B2532A" w:rsidRPr="00092097">
        <w:rPr>
          <w:rFonts w:ascii="Calibre Regular" w:hAnsi="Calibre Regular" w:cs="Arial"/>
          <w:b/>
          <w:sz w:val="22"/>
          <w:szCs w:val="22"/>
          <w:highlight w:val="yellow"/>
        </w:rPr>
        <w:t>We probably want some other names here!</w:t>
      </w:r>
    </w:p>
    <w:p w14:paraId="7CE3549D" w14:textId="77777777" w:rsidR="00DA1129" w:rsidRDefault="00DA1129" w:rsidP="00DA1129">
      <w:pPr>
        <w:suppressAutoHyphens/>
        <w:rPr>
          <w:rFonts w:ascii="Calibre Regular" w:hAnsi="Calibre Regular" w:cs="Calibri"/>
          <w:b/>
          <w:i/>
          <w:sz w:val="22"/>
          <w:szCs w:val="22"/>
        </w:rPr>
      </w:pPr>
    </w:p>
    <w:p w14:paraId="3195C17C" w14:textId="77777777" w:rsidR="00E02B45" w:rsidRPr="008C374C" w:rsidRDefault="00E02B45" w:rsidP="00E02B45">
      <w:pPr>
        <w:suppressAutoHyphens/>
        <w:rPr>
          <w:rFonts w:ascii="Calibre Regular" w:hAnsi="Calibre Regular" w:cs="Calibri"/>
          <w:sz w:val="22"/>
          <w:szCs w:val="22"/>
        </w:rPr>
      </w:pPr>
      <w:r w:rsidRPr="008C374C">
        <w:rPr>
          <w:rFonts w:ascii="Calibre Regular" w:hAnsi="Calibre Regular" w:cs="Calibri"/>
          <w:b/>
          <w:i/>
          <w:sz w:val="22"/>
          <w:szCs w:val="22"/>
        </w:rPr>
        <w:t>Matthew Wibbenmeyer, Fellow</w:t>
      </w:r>
      <w:r w:rsidRPr="008C374C">
        <w:rPr>
          <w:rFonts w:ascii="Calibre Regular" w:hAnsi="Calibre Regular" w:cs="Calibri"/>
          <w:sz w:val="22"/>
          <w:szCs w:val="22"/>
        </w:rPr>
        <w:t>. Matt</w:t>
      </w:r>
      <w:r>
        <w:rPr>
          <w:rFonts w:ascii="Calibre Regular" w:hAnsi="Calibre Regular" w:cs="Calibri"/>
          <w:sz w:val="22"/>
          <w:szCs w:val="22"/>
        </w:rPr>
        <w:t>hew</w:t>
      </w:r>
      <w:r w:rsidRPr="008C374C">
        <w:rPr>
          <w:rFonts w:ascii="Calibre Regular" w:hAnsi="Calibre Regular" w:cs="Calibri"/>
          <w:sz w:val="22"/>
          <w:szCs w:val="22"/>
        </w:rPr>
        <w:t xml:space="preserve"> </w:t>
      </w:r>
      <w:proofErr w:type="spellStart"/>
      <w:r w:rsidRPr="008C374C">
        <w:rPr>
          <w:rFonts w:ascii="Calibre Regular" w:hAnsi="Calibre Regular" w:cs="Calibri"/>
          <w:sz w:val="22"/>
          <w:szCs w:val="22"/>
        </w:rPr>
        <w:t>W</w:t>
      </w:r>
      <w:r>
        <w:rPr>
          <w:rFonts w:ascii="Calibre Regular" w:hAnsi="Calibre Regular" w:cs="Calibri"/>
          <w:sz w:val="22"/>
          <w:szCs w:val="22"/>
        </w:rPr>
        <w:t>i</w:t>
      </w:r>
      <w:r w:rsidRPr="008C374C">
        <w:rPr>
          <w:rFonts w:ascii="Calibre Regular" w:hAnsi="Calibre Regular" w:cs="Calibri"/>
          <w:sz w:val="22"/>
          <w:szCs w:val="22"/>
        </w:rPr>
        <w:t>bbenmeyer’s</w:t>
      </w:r>
      <w:proofErr w:type="spellEnd"/>
      <w:r w:rsidRPr="008C374C">
        <w:rPr>
          <w:rFonts w:ascii="Calibre Regular" w:hAnsi="Calibre Regular" w:cs="Calibri"/>
          <w:sz w:val="22"/>
          <w:szCs w:val="22"/>
        </w:rPr>
        <w:t xml:space="preserve"> research seeks to understand important factors that influence administration of environmental management and to use this understanding to inform improved policy. With a focus on forest and land management, he is interested in how actions and interactions among government and individuals determine management outcomes.</w:t>
      </w:r>
      <w:r w:rsidRPr="008C374C">
        <w:rPr>
          <w:rFonts w:ascii="Calibri" w:hAnsi="Calibri" w:cs="Calibri"/>
          <w:sz w:val="22"/>
          <w:szCs w:val="22"/>
        </w:rPr>
        <w:t> </w:t>
      </w:r>
      <w:r w:rsidRPr="008C374C">
        <w:rPr>
          <w:rFonts w:ascii="Calibre Regular" w:hAnsi="Calibre Regular" w:cs="Calibri"/>
          <w:sz w:val="22"/>
          <w:szCs w:val="22"/>
        </w:rPr>
        <w:t xml:space="preserve">He has a </w:t>
      </w:r>
      <w:r>
        <w:rPr>
          <w:rFonts w:ascii="Calibre Regular" w:hAnsi="Calibre Regular" w:cs="Calibri"/>
          <w:sz w:val="22"/>
          <w:szCs w:val="22"/>
        </w:rPr>
        <w:t>PhD</w:t>
      </w:r>
      <w:r w:rsidRPr="008C374C">
        <w:rPr>
          <w:rFonts w:ascii="Calibre Regular" w:hAnsi="Calibre Regular" w:cs="Calibri"/>
          <w:sz w:val="22"/>
          <w:szCs w:val="22"/>
        </w:rPr>
        <w:t xml:space="preserve"> in economics</w:t>
      </w:r>
      <w:r>
        <w:rPr>
          <w:rFonts w:ascii="Calibre Regular" w:hAnsi="Calibre Regular" w:cs="Calibri"/>
          <w:sz w:val="22"/>
          <w:szCs w:val="22"/>
        </w:rPr>
        <w:t xml:space="preserve"> from the</w:t>
      </w:r>
      <w:r w:rsidRPr="008C374C">
        <w:rPr>
          <w:rFonts w:ascii="Calibre Regular" w:hAnsi="Calibre Regular" w:cs="Calibri"/>
          <w:sz w:val="22"/>
          <w:szCs w:val="22"/>
        </w:rPr>
        <w:t xml:space="preserve"> University of California, Santa Barbara, and a Master’s in Resource Conservation from the University of Montana.  </w:t>
      </w:r>
    </w:p>
    <w:p w14:paraId="592C7688" w14:textId="77777777" w:rsidR="00E02B45" w:rsidRPr="008C374C" w:rsidRDefault="00E02B45" w:rsidP="00E02B45">
      <w:pPr>
        <w:suppressAutoHyphens/>
        <w:rPr>
          <w:rFonts w:ascii="Calibre Regular" w:hAnsi="Calibre Regular"/>
          <w:sz w:val="22"/>
          <w:szCs w:val="22"/>
        </w:rPr>
      </w:pPr>
    </w:p>
    <w:p w14:paraId="19CC19FF" w14:textId="77777777" w:rsidR="00E02B45" w:rsidRDefault="00E02B45">
      <w:pPr>
        <w:rPr>
          <w:rFonts w:ascii="Calibre Regular" w:hAnsi="Calibre Regular" w:cs="Arial"/>
          <w:b/>
          <w:color w:val="222222"/>
          <w:sz w:val="22"/>
          <w:szCs w:val="22"/>
          <w:shd w:val="clear" w:color="auto" w:fill="FFFFFF"/>
        </w:rPr>
      </w:pPr>
      <w:r>
        <w:rPr>
          <w:rFonts w:ascii="Calibre Regular" w:hAnsi="Calibre Regular" w:cs="Arial"/>
          <w:b/>
          <w:color w:val="222222"/>
          <w:sz w:val="22"/>
          <w:szCs w:val="22"/>
          <w:shd w:val="clear" w:color="auto" w:fill="FFFFFF"/>
        </w:rPr>
        <w:br w:type="page"/>
      </w:r>
    </w:p>
    <w:p w14:paraId="460E1644" w14:textId="77777777" w:rsidR="003C639A" w:rsidRPr="00DA5E30" w:rsidRDefault="003C639A" w:rsidP="00DA5E30">
      <w:pPr>
        <w:suppressAutoHyphens/>
        <w:rPr>
          <w:rFonts w:ascii="Calibre Regular" w:hAnsi="Calibre Regular" w:cs="Arial"/>
          <w:color w:val="222222"/>
          <w:sz w:val="22"/>
          <w:szCs w:val="22"/>
          <w:shd w:val="clear" w:color="auto" w:fill="FFFFFF"/>
        </w:rPr>
      </w:pPr>
      <w:r w:rsidRPr="00DA5E30">
        <w:rPr>
          <w:rFonts w:ascii="Calibre Regular" w:hAnsi="Calibre Regular" w:cs="Arial"/>
          <w:b/>
          <w:color w:val="222222"/>
          <w:sz w:val="22"/>
          <w:szCs w:val="22"/>
          <w:shd w:val="clear" w:color="auto" w:fill="FFFFFF"/>
        </w:rPr>
        <w:lastRenderedPageBreak/>
        <w:t>References</w:t>
      </w:r>
    </w:p>
    <w:p w14:paraId="2579053F" w14:textId="77777777" w:rsidR="003C639A" w:rsidRPr="00DA5E30" w:rsidRDefault="003C639A" w:rsidP="00DA5E30">
      <w:pPr>
        <w:suppressAutoHyphens/>
        <w:rPr>
          <w:rFonts w:ascii="Calibre Regular" w:hAnsi="Calibre Regular" w:cs="Arial"/>
          <w:color w:val="222222"/>
          <w:sz w:val="22"/>
          <w:szCs w:val="22"/>
          <w:shd w:val="clear" w:color="auto" w:fill="FFFFFF"/>
        </w:rPr>
      </w:pPr>
    </w:p>
    <w:p w14:paraId="1D1936BD" w14:textId="77777777" w:rsidR="000872C3" w:rsidRPr="008C374C" w:rsidRDefault="000872C3" w:rsidP="00DA5E30">
      <w:pPr>
        <w:suppressAutoHyphens/>
        <w:rPr>
          <w:rFonts w:ascii="Calibre Regular" w:hAnsi="Calibre Regular"/>
          <w:sz w:val="22"/>
          <w:szCs w:val="22"/>
        </w:rPr>
      </w:pPr>
    </w:p>
    <w:sectPr w:rsidR="000872C3" w:rsidRPr="008C374C" w:rsidSect="00150AEE">
      <w:headerReference w:type="default" r:id="rId8"/>
      <w:footerReference w:type="default" r:id="rId9"/>
      <w:headerReference w:type="first" r:id="rId10"/>
      <w:footerReference w:type="first" r:id="rId11"/>
      <w:pgSz w:w="12240" w:h="15840" w:code="1"/>
      <w:pgMar w:top="1260" w:right="1440" w:bottom="1440" w:left="1440" w:header="288"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749A9" w14:textId="77777777" w:rsidR="00D92614" w:rsidRDefault="00D92614">
      <w:r>
        <w:separator/>
      </w:r>
    </w:p>
  </w:endnote>
  <w:endnote w:type="continuationSeparator" w:id="0">
    <w:p w14:paraId="340FF199" w14:textId="77777777" w:rsidR="00D92614" w:rsidRDefault="00D92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e Regular">
    <w:altName w:val="Calibri"/>
    <w:panose1 w:val="00000000000000000000"/>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7918473"/>
      <w:docPartObj>
        <w:docPartGallery w:val="Page Numbers (Bottom of Page)"/>
        <w:docPartUnique/>
      </w:docPartObj>
    </w:sdtPr>
    <w:sdtEndPr>
      <w:rPr>
        <w:noProof/>
      </w:rPr>
    </w:sdtEndPr>
    <w:sdtContent>
      <w:p w14:paraId="06A1DD38" w14:textId="77777777" w:rsidR="007F2AA8" w:rsidRDefault="007F2AA8">
        <w:pPr>
          <w:pStyle w:val="Footer"/>
          <w:jc w:val="right"/>
        </w:pPr>
        <w:r w:rsidRPr="00DA5E30">
          <w:rPr>
            <w:rFonts w:ascii="Calibre Regular" w:hAnsi="Calibre Regular"/>
          </w:rPr>
          <w:fldChar w:fldCharType="begin"/>
        </w:r>
        <w:r w:rsidRPr="00DA5E30">
          <w:rPr>
            <w:rFonts w:ascii="Calibre Regular" w:hAnsi="Calibre Regular"/>
          </w:rPr>
          <w:instrText xml:space="preserve"> PAGE   \* MERGEFORMAT </w:instrText>
        </w:r>
        <w:r w:rsidRPr="00DA5E30">
          <w:rPr>
            <w:rFonts w:ascii="Calibre Regular" w:hAnsi="Calibre Regular"/>
          </w:rPr>
          <w:fldChar w:fldCharType="separate"/>
        </w:r>
        <w:r w:rsidR="007F639B">
          <w:rPr>
            <w:rFonts w:ascii="Calibre Regular" w:hAnsi="Calibre Regular"/>
            <w:noProof/>
          </w:rPr>
          <w:t>5</w:t>
        </w:r>
        <w:r w:rsidRPr="00DA5E30">
          <w:rPr>
            <w:rFonts w:ascii="Calibre Regular" w:hAnsi="Calibre Regular"/>
            <w:noProof/>
          </w:rPr>
          <w:fldChar w:fldCharType="end"/>
        </w:r>
      </w:p>
    </w:sdtContent>
  </w:sdt>
  <w:p w14:paraId="0AB067DE" w14:textId="77777777" w:rsidR="00E75843" w:rsidRDefault="00E75843">
    <w:pPr>
      <w:pStyle w:val="Footer"/>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e Regular" w:hAnsi="Calibre Regular"/>
        <w:sz w:val="22"/>
      </w:rPr>
      <w:id w:val="-618298562"/>
      <w:docPartObj>
        <w:docPartGallery w:val="Page Numbers (Bottom of Page)"/>
        <w:docPartUnique/>
      </w:docPartObj>
    </w:sdtPr>
    <w:sdtEndPr>
      <w:rPr>
        <w:rFonts w:ascii="Times New Roman" w:hAnsi="Times New Roman"/>
        <w:noProof/>
      </w:rPr>
    </w:sdtEndPr>
    <w:sdtContent>
      <w:sdt>
        <w:sdtPr>
          <w:rPr>
            <w:rFonts w:ascii="Calibre Regular" w:hAnsi="Calibre Regular"/>
            <w:sz w:val="22"/>
          </w:rPr>
          <w:id w:val="-1643035818"/>
          <w:docPartObj>
            <w:docPartGallery w:val="Page Numbers (Bottom of Page)"/>
            <w:docPartUnique/>
          </w:docPartObj>
        </w:sdtPr>
        <w:sdtEndPr/>
        <w:sdtContent>
          <w:p w14:paraId="01C74722" w14:textId="77777777" w:rsidR="00742F5E" w:rsidRPr="00C161E6" w:rsidRDefault="00742F5E" w:rsidP="00742F5E">
            <w:pPr>
              <w:pStyle w:val="Footer"/>
              <w:jc w:val="center"/>
              <w:rPr>
                <w:rFonts w:ascii="Calibre Regular" w:hAnsi="Calibre Regular"/>
                <w:sz w:val="22"/>
              </w:rPr>
            </w:pPr>
            <w:r w:rsidRPr="00C161E6">
              <w:rPr>
                <w:rFonts w:ascii="Calibre Regular" w:hAnsi="Calibre Regular"/>
                <w:sz w:val="22"/>
              </w:rPr>
              <w:t>1616 P ST. NW, SUITE 600, WASHINGTON, DC 20036   •   202.328.5000   •   WWW.RFF.ORG</w:t>
            </w:r>
          </w:p>
        </w:sdtContent>
      </w:sdt>
      <w:p w14:paraId="5500885D" w14:textId="77777777" w:rsidR="007F2AA8" w:rsidRPr="00742F5E" w:rsidRDefault="00D92614" w:rsidP="00742F5E">
        <w:pPr>
          <w:pStyle w:val="Footer"/>
          <w:jc w:val="center"/>
          <w:rPr>
            <w:sz w:val="22"/>
          </w:rPr>
        </w:pPr>
      </w:p>
    </w:sdtContent>
  </w:sdt>
  <w:p w14:paraId="107C4DA7" w14:textId="77777777" w:rsidR="006019F0" w:rsidRDefault="006019F0" w:rsidP="006019F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A34A4" w14:textId="77777777" w:rsidR="00D92614" w:rsidRDefault="00D92614">
      <w:r>
        <w:separator/>
      </w:r>
    </w:p>
  </w:footnote>
  <w:footnote w:type="continuationSeparator" w:id="0">
    <w:p w14:paraId="189F5B26" w14:textId="77777777" w:rsidR="00D92614" w:rsidRDefault="00D92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5C51F" w14:textId="77777777" w:rsidR="00E75843" w:rsidRDefault="00E75843">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rPr>
      <w:id w:val="-562945482"/>
      <w:docPartObj>
        <w:docPartGallery w:val="Watermarks"/>
        <w:docPartUnique/>
      </w:docPartObj>
    </w:sdtPr>
    <w:sdtEndPr/>
    <w:sdtContent>
      <w:p w14:paraId="46547D7B" w14:textId="77777777" w:rsidR="006019F0" w:rsidRDefault="00D92614" w:rsidP="007C474F">
        <w:pPr>
          <w:pStyle w:val="Header"/>
          <w:jc w:val="center"/>
          <w:rPr>
            <w:sz w:val="16"/>
          </w:rPr>
        </w:pPr>
        <w:r>
          <w:rPr>
            <w:noProof/>
            <w:sz w:val="16"/>
          </w:rPr>
          <w:pict w14:anchorId="262D5B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left:0;text-align:left;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p w14:paraId="325EA2C3" w14:textId="77777777" w:rsidR="006019F0" w:rsidRDefault="00742F5E" w:rsidP="007C474F">
    <w:pPr>
      <w:pStyle w:val="Header"/>
      <w:jc w:val="center"/>
      <w:rPr>
        <w:sz w:val="16"/>
      </w:rPr>
    </w:pPr>
    <w:r w:rsidRPr="00813C17">
      <w:rPr>
        <w:noProof/>
      </w:rPr>
      <w:drawing>
        <wp:inline distT="0" distB="0" distL="0" distR="0" wp14:anchorId="67CF6B6B" wp14:editId="1B58D6EB">
          <wp:extent cx="1816847" cy="36678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869861" cy="377488"/>
                  </a:xfrm>
                  <a:prstGeom prst="rect">
                    <a:avLst/>
                  </a:prstGeom>
                </pic:spPr>
              </pic:pic>
            </a:graphicData>
          </a:graphic>
        </wp:inline>
      </w:drawing>
    </w:r>
  </w:p>
  <w:p w14:paraId="7396ECD3" w14:textId="77777777" w:rsidR="006019F0" w:rsidRDefault="006019F0" w:rsidP="007C474F">
    <w:pPr>
      <w:pStyle w:val="Header"/>
      <w:jc w:val="center"/>
      <w:rPr>
        <w:sz w:val="16"/>
      </w:rPr>
    </w:pPr>
  </w:p>
  <w:p w14:paraId="000860A1" w14:textId="77777777" w:rsidR="00A52418" w:rsidRDefault="00A52418" w:rsidP="007C474F">
    <w:pPr>
      <w:pStyle w:val="Header"/>
      <w:jc w:val="center"/>
      <w:rPr>
        <w:sz w:val="16"/>
      </w:rPr>
    </w:pPr>
  </w:p>
  <w:p w14:paraId="5C6FAB45" w14:textId="77777777" w:rsidR="0002366A" w:rsidRDefault="00023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109"/>
    <w:multiLevelType w:val="hybridMultilevel"/>
    <w:tmpl w:val="053E9BC8"/>
    <w:lvl w:ilvl="0" w:tplc="F7504300">
      <w:start w:val="1"/>
      <w:numFmt w:val="bullet"/>
      <w:lvlText w:val="•"/>
      <w:lvlJc w:val="left"/>
      <w:pPr>
        <w:tabs>
          <w:tab w:val="num" w:pos="720"/>
        </w:tabs>
        <w:ind w:left="720" w:hanging="360"/>
      </w:pPr>
      <w:rPr>
        <w:rFonts w:ascii="Arial" w:hAnsi="Arial" w:hint="default"/>
      </w:rPr>
    </w:lvl>
    <w:lvl w:ilvl="1" w:tplc="B6009612">
      <w:start w:val="21"/>
      <w:numFmt w:val="bullet"/>
      <w:lvlText w:val="•"/>
      <w:lvlJc w:val="left"/>
      <w:pPr>
        <w:tabs>
          <w:tab w:val="num" w:pos="1440"/>
        </w:tabs>
        <w:ind w:left="1440" w:hanging="360"/>
      </w:pPr>
      <w:rPr>
        <w:rFonts w:ascii="Arial" w:hAnsi="Arial" w:hint="default"/>
      </w:rPr>
    </w:lvl>
    <w:lvl w:ilvl="2" w:tplc="A380DA10" w:tentative="1">
      <w:start w:val="1"/>
      <w:numFmt w:val="bullet"/>
      <w:lvlText w:val="•"/>
      <w:lvlJc w:val="left"/>
      <w:pPr>
        <w:tabs>
          <w:tab w:val="num" w:pos="2160"/>
        </w:tabs>
        <w:ind w:left="2160" w:hanging="360"/>
      </w:pPr>
      <w:rPr>
        <w:rFonts w:ascii="Arial" w:hAnsi="Arial" w:hint="default"/>
      </w:rPr>
    </w:lvl>
    <w:lvl w:ilvl="3" w:tplc="50A67062" w:tentative="1">
      <w:start w:val="1"/>
      <w:numFmt w:val="bullet"/>
      <w:lvlText w:val="•"/>
      <w:lvlJc w:val="left"/>
      <w:pPr>
        <w:tabs>
          <w:tab w:val="num" w:pos="2880"/>
        </w:tabs>
        <w:ind w:left="2880" w:hanging="360"/>
      </w:pPr>
      <w:rPr>
        <w:rFonts w:ascii="Arial" w:hAnsi="Arial" w:hint="default"/>
      </w:rPr>
    </w:lvl>
    <w:lvl w:ilvl="4" w:tplc="DA3CA8C0" w:tentative="1">
      <w:start w:val="1"/>
      <w:numFmt w:val="bullet"/>
      <w:lvlText w:val="•"/>
      <w:lvlJc w:val="left"/>
      <w:pPr>
        <w:tabs>
          <w:tab w:val="num" w:pos="3600"/>
        </w:tabs>
        <w:ind w:left="3600" w:hanging="360"/>
      </w:pPr>
      <w:rPr>
        <w:rFonts w:ascii="Arial" w:hAnsi="Arial" w:hint="default"/>
      </w:rPr>
    </w:lvl>
    <w:lvl w:ilvl="5" w:tplc="7AFEC5B6" w:tentative="1">
      <w:start w:val="1"/>
      <w:numFmt w:val="bullet"/>
      <w:lvlText w:val="•"/>
      <w:lvlJc w:val="left"/>
      <w:pPr>
        <w:tabs>
          <w:tab w:val="num" w:pos="4320"/>
        </w:tabs>
        <w:ind w:left="4320" w:hanging="360"/>
      </w:pPr>
      <w:rPr>
        <w:rFonts w:ascii="Arial" w:hAnsi="Arial" w:hint="default"/>
      </w:rPr>
    </w:lvl>
    <w:lvl w:ilvl="6" w:tplc="8CE6CFD4" w:tentative="1">
      <w:start w:val="1"/>
      <w:numFmt w:val="bullet"/>
      <w:lvlText w:val="•"/>
      <w:lvlJc w:val="left"/>
      <w:pPr>
        <w:tabs>
          <w:tab w:val="num" w:pos="5040"/>
        </w:tabs>
        <w:ind w:left="5040" w:hanging="360"/>
      </w:pPr>
      <w:rPr>
        <w:rFonts w:ascii="Arial" w:hAnsi="Arial" w:hint="default"/>
      </w:rPr>
    </w:lvl>
    <w:lvl w:ilvl="7" w:tplc="952084F8" w:tentative="1">
      <w:start w:val="1"/>
      <w:numFmt w:val="bullet"/>
      <w:lvlText w:val="•"/>
      <w:lvlJc w:val="left"/>
      <w:pPr>
        <w:tabs>
          <w:tab w:val="num" w:pos="5760"/>
        </w:tabs>
        <w:ind w:left="5760" w:hanging="360"/>
      </w:pPr>
      <w:rPr>
        <w:rFonts w:ascii="Arial" w:hAnsi="Arial" w:hint="default"/>
      </w:rPr>
    </w:lvl>
    <w:lvl w:ilvl="8" w:tplc="ACC452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7F2F45"/>
    <w:multiLevelType w:val="hybridMultilevel"/>
    <w:tmpl w:val="208E2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47CCA"/>
    <w:multiLevelType w:val="hybridMultilevel"/>
    <w:tmpl w:val="F85EE944"/>
    <w:lvl w:ilvl="0" w:tplc="6534EFCE">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F0FAE"/>
    <w:multiLevelType w:val="hybridMultilevel"/>
    <w:tmpl w:val="7B4EE5D4"/>
    <w:lvl w:ilvl="0" w:tplc="AA586406">
      <w:start w:val="1"/>
      <w:numFmt w:val="bullet"/>
      <w:lvlText w:val="•"/>
      <w:lvlJc w:val="left"/>
      <w:pPr>
        <w:tabs>
          <w:tab w:val="num" w:pos="720"/>
        </w:tabs>
        <w:ind w:left="720" w:hanging="360"/>
      </w:pPr>
      <w:rPr>
        <w:rFonts w:ascii="Arial" w:hAnsi="Arial" w:hint="default"/>
      </w:rPr>
    </w:lvl>
    <w:lvl w:ilvl="1" w:tplc="955C92E0" w:tentative="1">
      <w:start w:val="1"/>
      <w:numFmt w:val="bullet"/>
      <w:lvlText w:val="•"/>
      <w:lvlJc w:val="left"/>
      <w:pPr>
        <w:tabs>
          <w:tab w:val="num" w:pos="1440"/>
        </w:tabs>
        <w:ind w:left="1440" w:hanging="360"/>
      </w:pPr>
      <w:rPr>
        <w:rFonts w:ascii="Arial" w:hAnsi="Arial" w:hint="default"/>
      </w:rPr>
    </w:lvl>
    <w:lvl w:ilvl="2" w:tplc="25385EB8" w:tentative="1">
      <w:start w:val="1"/>
      <w:numFmt w:val="bullet"/>
      <w:lvlText w:val="•"/>
      <w:lvlJc w:val="left"/>
      <w:pPr>
        <w:tabs>
          <w:tab w:val="num" w:pos="2160"/>
        </w:tabs>
        <w:ind w:left="2160" w:hanging="360"/>
      </w:pPr>
      <w:rPr>
        <w:rFonts w:ascii="Arial" w:hAnsi="Arial" w:hint="default"/>
      </w:rPr>
    </w:lvl>
    <w:lvl w:ilvl="3" w:tplc="48C2A6EA" w:tentative="1">
      <w:start w:val="1"/>
      <w:numFmt w:val="bullet"/>
      <w:lvlText w:val="•"/>
      <w:lvlJc w:val="left"/>
      <w:pPr>
        <w:tabs>
          <w:tab w:val="num" w:pos="2880"/>
        </w:tabs>
        <w:ind w:left="2880" w:hanging="360"/>
      </w:pPr>
      <w:rPr>
        <w:rFonts w:ascii="Arial" w:hAnsi="Arial" w:hint="default"/>
      </w:rPr>
    </w:lvl>
    <w:lvl w:ilvl="4" w:tplc="0622CAEA" w:tentative="1">
      <w:start w:val="1"/>
      <w:numFmt w:val="bullet"/>
      <w:lvlText w:val="•"/>
      <w:lvlJc w:val="left"/>
      <w:pPr>
        <w:tabs>
          <w:tab w:val="num" w:pos="3600"/>
        </w:tabs>
        <w:ind w:left="3600" w:hanging="360"/>
      </w:pPr>
      <w:rPr>
        <w:rFonts w:ascii="Arial" w:hAnsi="Arial" w:hint="default"/>
      </w:rPr>
    </w:lvl>
    <w:lvl w:ilvl="5" w:tplc="2F4000E8" w:tentative="1">
      <w:start w:val="1"/>
      <w:numFmt w:val="bullet"/>
      <w:lvlText w:val="•"/>
      <w:lvlJc w:val="left"/>
      <w:pPr>
        <w:tabs>
          <w:tab w:val="num" w:pos="4320"/>
        </w:tabs>
        <w:ind w:left="4320" w:hanging="360"/>
      </w:pPr>
      <w:rPr>
        <w:rFonts w:ascii="Arial" w:hAnsi="Arial" w:hint="default"/>
      </w:rPr>
    </w:lvl>
    <w:lvl w:ilvl="6" w:tplc="0E02B1AC" w:tentative="1">
      <w:start w:val="1"/>
      <w:numFmt w:val="bullet"/>
      <w:lvlText w:val="•"/>
      <w:lvlJc w:val="left"/>
      <w:pPr>
        <w:tabs>
          <w:tab w:val="num" w:pos="5040"/>
        </w:tabs>
        <w:ind w:left="5040" w:hanging="360"/>
      </w:pPr>
      <w:rPr>
        <w:rFonts w:ascii="Arial" w:hAnsi="Arial" w:hint="default"/>
      </w:rPr>
    </w:lvl>
    <w:lvl w:ilvl="7" w:tplc="8B14E5CC" w:tentative="1">
      <w:start w:val="1"/>
      <w:numFmt w:val="bullet"/>
      <w:lvlText w:val="•"/>
      <w:lvlJc w:val="left"/>
      <w:pPr>
        <w:tabs>
          <w:tab w:val="num" w:pos="5760"/>
        </w:tabs>
        <w:ind w:left="5760" w:hanging="360"/>
      </w:pPr>
      <w:rPr>
        <w:rFonts w:ascii="Arial" w:hAnsi="Arial" w:hint="default"/>
      </w:rPr>
    </w:lvl>
    <w:lvl w:ilvl="8" w:tplc="495CC2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07532A"/>
    <w:multiLevelType w:val="hybridMultilevel"/>
    <w:tmpl w:val="8FCC1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2180402"/>
    <w:multiLevelType w:val="multilevel"/>
    <w:tmpl w:val="D758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EA0FD9"/>
    <w:multiLevelType w:val="hybridMultilevel"/>
    <w:tmpl w:val="BA5E2CF6"/>
    <w:lvl w:ilvl="0" w:tplc="54EC4C7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D4E1A38"/>
    <w:multiLevelType w:val="hybridMultilevel"/>
    <w:tmpl w:val="B930E902"/>
    <w:lvl w:ilvl="0" w:tplc="72E2C1E2">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21CF6"/>
    <w:multiLevelType w:val="hybridMultilevel"/>
    <w:tmpl w:val="8EE8F678"/>
    <w:lvl w:ilvl="0" w:tplc="E2C417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87569"/>
    <w:multiLevelType w:val="hybridMultilevel"/>
    <w:tmpl w:val="26D89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A41556B"/>
    <w:multiLevelType w:val="hybridMultilevel"/>
    <w:tmpl w:val="B6D6A146"/>
    <w:lvl w:ilvl="0" w:tplc="6E3A11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305C4"/>
    <w:multiLevelType w:val="hybridMultilevel"/>
    <w:tmpl w:val="DA22E650"/>
    <w:lvl w:ilvl="0" w:tplc="79D2F1A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D00A1"/>
    <w:multiLevelType w:val="hybridMultilevel"/>
    <w:tmpl w:val="B948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D61DD"/>
    <w:multiLevelType w:val="hybridMultilevel"/>
    <w:tmpl w:val="73CE1C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F72F04"/>
    <w:multiLevelType w:val="multilevel"/>
    <w:tmpl w:val="AB82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080A7F"/>
    <w:multiLevelType w:val="hybridMultilevel"/>
    <w:tmpl w:val="72909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6E5CD3"/>
    <w:multiLevelType w:val="multilevel"/>
    <w:tmpl w:val="ADD68D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num>
  <w:num w:numId="2">
    <w:abstractNumId w:val="2"/>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1"/>
  </w:num>
  <w:num w:numId="6">
    <w:abstractNumId w:val="6"/>
  </w:num>
  <w:num w:numId="7">
    <w:abstractNumId w:val="3"/>
  </w:num>
  <w:num w:numId="8">
    <w:abstractNumId w:val="0"/>
  </w:num>
  <w:num w:numId="9">
    <w:abstractNumId w:val="5"/>
  </w:num>
  <w:num w:numId="10">
    <w:abstractNumId w:val="14"/>
  </w:num>
  <w:num w:numId="11">
    <w:abstractNumId w:val="9"/>
  </w:num>
  <w:num w:numId="12">
    <w:abstractNumId w:val="4"/>
  </w:num>
  <w:num w:numId="13">
    <w:abstractNumId w:val="1"/>
  </w:num>
  <w:num w:numId="14">
    <w:abstractNumId w:val="8"/>
  </w:num>
  <w:num w:numId="15">
    <w:abstractNumId w:val="10"/>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4A0"/>
    <w:rsid w:val="00017004"/>
    <w:rsid w:val="000171F7"/>
    <w:rsid w:val="00022D78"/>
    <w:rsid w:val="0002366A"/>
    <w:rsid w:val="00023A55"/>
    <w:rsid w:val="00027052"/>
    <w:rsid w:val="00032219"/>
    <w:rsid w:val="0003293A"/>
    <w:rsid w:val="00045843"/>
    <w:rsid w:val="000519B5"/>
    <w:rsid w:val="000520BE"/>
    <w:rsid w:val="00070A61"/>
    <w:rsid w:val="00083EDD"/>
    <w:rsid w:val="000872C3"/>
    <w:rsid w:val="0009130E"/>
    <w:rsid w:val="00092097"/>
    <w:rsid w:val="00094459"/>
    <w:rsid w:val="000A3963"/>
    <w:rsid w:val="000A3FB0"/>
    <w:rsid w:val="000B239B"/>
    <w:rsid w:val="000B702E"/>
    <w:rsid w:val="000C4E3E"/>
    <w:rsid w:val="000D0BA1"/>
    <w:rsid w:val="000D1506"/>
    <w:rsid w:val="000D2A52"/>
    <w:rsid w:val="000E2791"/>
    <w:rsid w:val="000E468B"/>
    <w:rsid w:val="000F01B6"/>
    <w:rsid w:val="000F6078"/>
    <w:rsid w:val="00104F09"/>
    <w:rsid w:val="00106A58"/>
    <w:rsid w:val="001074E6"/>
    <w:rsid w:val="00116FE3"/>
    <w:rsid w:val="001378BA"/>
    <w:rsid w:val="00150AEE"/>
    <w:rsid w:val="00151208"/>
    <w:rsid w:val="0015690B"/>
    <w:rsid w:val="00156AA5"/>
    <w:rsid w:val="00157CCB"/>
    <w:rsid w:val="001772CA"/>
    <w:rsid w:val="00192AAF"/>
    <w:rsid w:val="00192DD7"/>
    <w:rsid w:val="00196E9B"/>
    <w:rsid w:val="001975C4"/>
    <w:rsid w:val="001A3B89"/>
    <w:rsid w:val="001A6CDC"/>
    <w:rsid w:val="001B5726"/>
    <w:rsid w:val="001B642B"/>
    <w:rsid w:val="001B6547"/>
    <w:rsid w:val="001E49E9"/>
    <w:rsid w:val="001F393E"/>
    <w:rsid w:val="00201CE1"/>
    <w:rsid w:val="00215AB0"/>
    <w:rsid w:val="00220A1E"/>
    <w:rsid w:val="00242CA4"/>
    <w:rsid w:val="002577CE"/>
    <w:rsid w:val="00264E3D"/>
    <w:rsid w:val="00265B6E"/>
    <w:rsid w:val="002712C6"/>
    <w:rsid w:val="00272FF4"/>
    <w:rsid w:val="002756B1"/>
    <w:rsid w:val="002767B3"/>
    <w:rsid w:val="00282F33"/>
    <w:rsid w:val="00285E1B"/>
    <w:rsid w:val="00286075"/>
    <w:rsid w:val="00290998"/>
    <w:rsid w:val="0029364A"/>
    <w:rsid w:val="00296C5E"/>
    <w:rsid w:val="002A1FBA"/>
    <w:rsid w:val="002A25D5"/>
    <w:rsid w:val="002A2F98"/>
    <w:rsid w:val="002A5FB5"/>
    <w:rsid w:val="002C4C11"/>
    <w:rsid w:val="002D36B9"/>
    <w:rsid w:val="002D3717"/>
    <w:rsid w:val="002D4105"/>
    <w:rsid w:val="002D4A60"/>
    <w:rsid w:val="002D5000"/>
    <w:rsid w:val="002D550F"/>
    <w:rsid w:val="002E38E3"/>
    <w:rsid w:val="002E5BB5"/>
    <w:rsid w:val="002F35D1"/>
    <w:rsid w:val="002F4018"/>
    <w:rsid w:val="002F4069"/>
    <w:rsid w:val="002F471A"/>
    <w:rsid w:val="002F4DFF"/>
    <w:rsid w:val="00301405"/>
    <w:rsid w:val="00302104"/>
    <w:rsid w:val="0030244C"/>
    <w:rsid w:val="0031507E"/>
    <w:rsid w:val="0032027E"/>
    <w:rsid w:val="003211C7"/>
    <w:rsid w:val="00324F08"/>
    <w:rsid w:val="00324FDC"/>
    <w:rsid w:val="00325665"/>
    <w:rsid w:val="00326F53"/>
    <w:rsid w:val="00333452"/>
    <w:rsid w:val="00342E00"/>
    <w:rsid w:val="00362931"/>
    <w:rsid w:val="0038057A"/>
    <w:rsid w:val="00380906"/>
    <w:rsid w:val="00381571"/>
    <w:rsid w:val="00383204"/>
    <w:rsid w:val="003932C4"/>
    <w:rsid w:val="00396709"/>
    <w:rsid w:val="00396A55"/>
    <w:rsid w:val="003A1129"/>
    <w:rsid w:val="003B1F3B"/>
    <w:rsid w:val="003C0CFE"/>
    <w:rsid w:val="003C387A"/>
    <w:rsid w:val="003C4976"/>
    <w:rsid w:val="003C639A"/>
    <w:rsid w:val="003D1033"/>
    <w:rsid w:val="003D2246"/>
    <w:rsid w:val="003D271F"/>
    <w:rsid w:val="003D4A47"/>
    <w:rsid w:val="003D7C24"/>
    <w:rsid w:val="003E4C03"/>
    <w:rsid w:val="003F4364"/>
    <w:rsid w:val="004039EE"/>
    <w:rsid w:val="00413D66"/>
    <w:rsid w:val="00416FEC"/>
    <w:rsid w:val="0042318F"/>
    <w:rsid w:val="00430199"/>
    <w:rsid w:val="00441460"/>
    <w:rsid w:val="00441480"/>
    <w:rsid w:val="00442EFC"/>
    <w:rsid w:val="0046108F"/>
    <w:rsid w:val="00466DC9"/>
    <w:rsid w:val="00474B08"/>
    <w:rsid w:val="004850F9"/>
    <w:rsid w:val="004867FB"/>
    <w:rsid w:val="00486A18"/>
    <w:rsid w:val="00486C94"/>
    <w:rsid w:val="00495E29"/>
    <w:rsid w:val="004A0392"/>
    <w:rsid w:val="004A0587"/>
    <w:rsid w:val="004A1814"/>
    <w:rsid w:val="004A54F7"/>
    <w:rsid w:val="004A77B2"/>
    <w:rsid w:val="004B03B1"/>
    <w:rsid w:val="004B5AC6"/>
    <w:rsid w:val="004B75B5"/>
    <w:rsid w:val="004D1D70"/>
    <w:rsid w:val="004D31C4"/>
    <w:rsid w:val="004D4913"/>
    <w:rsid w:val="004D6760"/>
    <w:rsid w:val="004E6994"/>
    <w:rsid w:val="004F0ED1"/>
    <w:rsid w:val="004F37A9"/>
    <w:rsid w:val="004F4EB1"/>
    <w:rsid w:val="004F562E"/>
    <w:rsid w:val="004F6E28"/>
    <w:rsid w:val="00502627"/>
    <w:rsid w:val="005058E0"/>
    <w:rsid w:val="00510EB0"/>
    <w:rsid w:val="00523D99"/>
    <w:rsid w:val="0052690C"/>
    <w:rsid w:val="005300B1"/>
    <w:rsid w:val="005360C0"/>
    <w:rsid w:val="00536A4F"/>
    <w:rsid w:val="005470B9"/>
    <w:rsid w:val="005567FB"/>
    <w:rsid w:val="00562BE4"/>
    <w:rsid w:val="00563BB5"/>
    <w:rsid w:val="005722F6"/>
    <w:rsid w:val="00572D41"/>
    <w:rsid w:val="005759EF"/>
    <w:rsid w:val="00584D8A"/>
    <w:rsid w:val="005915AE"/>
    <w:rsid w:val="00591C01"/>
    <w:rsid w:val="005A0871"/>
    <w:rsid w:val="005A2BA1"/>
    <w:rsid w:val="005B3159"/>
    <w:rsid w:val="005B65D9"/>
    <w:rsid w:val="005C5577"/>
    <w:rsid w:val="005D0DA4"/>
    <w:rsid w:val="005D200A"/>
    <w:rsid w:val="005D5E8C"/>
    <w:rsid w:val="006019F0"/>
    <w:rsid w:val="00602FBA"/>
    <w:rsid w:val="00605376"/>
    <w:rsid w:val="00607DD1"/>
    <w:rsid w:val="0061149C"/>
    <w:rsid w:val="00614C88"/>
    <w:rsid w:val="00615A80"/>
    <w:rsid w:val="006164C0"/>
    <w:rsid w:val="0062018A"/>
    <w:rsid w:val="006245B1"/>
    <w:rsid w:val="00624854"/>
    <w:rsid w:val="00627F02"/>
    <w:rsid w:val="00644B41"/>
    <w:rsid w:val="0065211E"/>
    <w:rsid w:val="00661BB7"/>
    <w:rsid w:val="006721C5"/>
    <w:rsid w:val="00672CE0"/>
    <w:rsid w:val="0067463B"/>
    <w:rsid w:val="006845E0"/>
    <w:rsid w:val="00684738"/>
    <w:rsid w:val="006853C8"/>
    <w:rsid w:val="0068695F"/>
    <w:rsid w:val="00692EC9"/>
    <w:rsid w:val="006A09EE"/>
    <w:rsid w:val="006A5129"/>
    <w:rsid w:val="006B0984"/>
    <w:rsid w:val="006B18C5"/>
    <w:rsid w:val="006C2BBA"/>
    <w:rsid w:val="006C56D8"/>
    <w:rsid w:val="006C599B"/>
    <w:rsid w:val="006E0188"/>
    <w:rsid w:val="006E0737"/>
    <w:rsid w:val="006E0849"/>
    <w:rsid w:val="006E28DA"/>
    <w:rsid w:val="006E3CE2"/>
    <w:rsid w:val="006E44D5"/>
    <w:rsid w:val="006E7633"/>
    <w:rsid w:val="00700435"/>
    <w:rsid w:val="00701A8D"/>
    <w:rsid w:val="007034B1"/>
    <w:rsid w:val="00712A02"/>
    <w:rsid w:val="007144EF"/>
    <w:rsid w:val="0072352E"/>
    <w:rsid w:val="00742F5E"/>
    <w:rsid w:val="00744B99"/>
    <w:rsid w:val="00745065"/>
    <w:rsid w:val="00745DE8"/>
    <w:rsid w:val="00746612"/>
    <w:rsid w:val="00750B3E"/>
    <w:rsid w:val="00751040"/>
    <w:rsid w:val="00785541"/>
    <w:rsid w:val="00790CE7"/>
    <w:rsid w:val="00797D2A"/>
    <w:rsid w:val="007B5020"/>
    <w:rsid w:val="007C474F"/>
    <w:rsid w:val="007C4967"/>
    <w:rsid w:val="007C61C1"/>
    <w:rsid w:val="007D325E"/>
    <w:rsid w:val="007D3743"/>
    <w:rsid w:val="007D38D2"/>
    <w:rsid w:val="007D396B"/>
    <w:rsid w:val="007D487F"/>
    <w:rsid w:val="007E0563"/>
    <w:rsid w:val="007E06D4"/>
    <w:rsid w:val="007F2AA8"/>
    <w:rsid w:val="007F639B"/>
    <w:rsid w:val="007F6A81"/>
    <w:rsid w:val="00800076"/>
    <w:rsid w:val="00807F24"/>
    <w:rsid w:val="0082071F"/>
    <w:rsid w:val="00823C00"/>
    <w:rsid w:val="0082509F"/>
    <w:rsid w:val="00831640"/>
    <w:rsid w:val="00832E6D"/>
    <w:rsid w:val="00837F09"/>
    <w:rsid w:val="00850504"/>
    <w:rsid w:val="00850BDA"/>
    <w:rsid w:val="00860815"/>
    <w:rsid w:val="00862BCC"/>
    <w:rsid w:val="0086367C"/>
    <w:rsid w:val="0087218F"/>
    <w:rsid w:val="00883FDE"/>
    <w:rsid w:val="008843AB"/>
    <w:rsid w:val="00887F66"/>
    <w:rsid w:val="00896B43"/>
    <w:rsid w:val="008A1F56"/>
    <w:rsid w:val="008A2BE5"/>
    <w:rsid w:val="008A5CFB"/>
    <w:rsid w:val="008C374C"/>
    <w:rsid w:val="008C5F70"/>
    <w:rsid w:val="008C7005"/>
    <w:rsid w:val="008E2AAD"/>
    <w:rsid w:val="008E2D28"/>
    <w:rsid w:val="00902FB8"/>
    <w:rsid w:val="00904FBF"/>
    <w:rsid w:val="00911231"/>
    <w:rsid w:val="009115EF"/>
    <w:rsid w:val="0091616E"/>
    <w:rsid w:val="00916CED"/>
    <w:rsid w:val="00922845"/>
    <w:rsid w:val="00922C24"/>
    <w:rsid w:val="00923CE8"/>
    <w:rsid w:val="00931AE3"/>
    <w:rsid w:val="0095004F"/>
    <w:rsid w:val="009517F5"/>
    <w:rsid w:val="00956045"/>
    <w:rsid w:val="009824EA"/>
    <w:rsid w:val="009836C8"/>
    <w:rsid w:val="009909D9"/>
    <w:rsid w:val="009A1FE8"/>
    <w:rsid w:val="009A32A2"/>
    <w:rsid w:val="009B103C"/>
    <w:rsid w:val="009B6B4E"/>
    <w:rsid w:val="009B6D28"/>
    <w:rsid w:val="009D10CA"/>
    <w:rsid w:val="009D33B0"/>
    <w:rsid w:val="009E13BB"/>
    <w:rsid w:val="009F0085"/>
    <w:rsid w:val="009F087B"/>
    <w:rsid w:val="009F61FB"/>
    <w:rsid w:val="009F7F31"/>
    <w:rsid w:val="00A052B0"/>
    <w:rsid w:val="00A10EA8"/>
    <w:rsid w:val="00A11C5C"/>
    <w:rsid w:val="00A13E2A"/>
    <w:rsid w:val="00A21EED"/>
    <w:rsid w:val="00A312DA"/>
    <w:rsid w:val="00A314A9"/>
    <w:rsid w:val="00A327D9"/>
    <w:rsid w:val="00A36CB0"/>
    <w:rsid w:val="00A52418"/>
    <w:rsid w:val="00A57D84"/>
    <w:rsid w:val="00A61CD8"/>
    <w:rsid w:val="00A66F89"/>
    <w:rsid w:val="00A8171B"/>
    <w:rsid w:val="00A93C2C"/>
    <w:rsid w:val="00AB1C5D"/>
    <w:rsid w:val="00AB5B31"/>
    <w:rsid w:val="00AC2729"/>
    <w:rsid w:val="00AC4E3C"/>
    <w:rsid w:val="00AD0894"/>
    <w:rsid w:val="00AD1C76"/>
    <w:rsid w:val="00AD393D"/>
    <w:rsid w:val="00AE290B"/>
    <w:rsid w:val="00AE3BBB"/>
    <w:rsid w:val="00AE5A25"/>
    <w:rsid w:val="00B131DA"/>
    <w:rsid w:val="00B13420"/>
    <w:rsid w:val="00B1635C"/>
    <w:rsid w:val="00B2532A"/>
    <w:rsid w:val="00B266D5"/>
    <w:rsid w:val="00B31250"/>
    <w:rsid w:val="00B43BDD"/>
    <w:rsid w:val="00B44A2E"/>
    <w:rsid w:val="00B45359"/>
    <w:rsid w:val="00B47A83"/>
    <w:rsid w:val="00B5110D"/>
    <w:rsid w:val="00B538E0"/>
    <w:rsid w:val="00B617C5"/>
    <w:rsid w:val="00B64CD1"/>
    <w:rsid w:val="00B66FD0"/>
    <w:rsid w:val="00B7003E"/>
    <w:rsid w:val="00B7211A"/>
    <w:rsid w:val="00B82527"/>
    <w:rsid w:val="00B955BD"/>
    <w:rsid w:val="00B97A76"/>
    <w:rsid w:val="00BB38EE"/>
    <w:rsid w:val="00BB44F8"/>
    <w:rsid w:val="00BD0C02"/>
    <w:rsid w:val="00BD0F95"/>
    <w:rsid w:val="00BD506D"/>
    <w:rsid w:val="00BE04B7"/>
    <w:rsid w:val="00BE3DDE"/>
    <w:rsid w:val="00BE45AE"/>
    <w:rsid w:val="00BE7DCB"/>
    <w:rsid w:val="00BF6D2A"/>
    <w:rsid w:val="00C01109"/>
    <w:rsid w:val="00C02FCF"/>
    <w:rsid w:val="00C07D84"/>
    <w:rsid w:val="00C12B6D"/>
    <w:rsid w:val="00C13B74"/>
    <w:rsid w:val="00C161E6"/>
    <w:rsid w:val="00C16E3F"/>
    <w:rsid w:val="00C242D2"/>
    <w:rsid w:val="00C3550A"/>
    <w:rsid w:val="00C423A0"/>
    <w:rsid w:val="00C44983"/>
    <w:rsid w:val="00C5421E"/>
    <w:rsid w:val="00C55034"/>
    <w:rsid w:val="00C56B2C"/>
    <w:rsid w:val="00C62E2D"/>
    <w:rsid w:val="00C6323B"/>
    <w:rsid w:val="00C669EF"/>
    <w:rsid w:val="00C6783E"/>
    <w:rsid w:val="00C678B1"/>
    <w:rsid w:val="00C70960"/>
    <w:rsid w:val="00C73790"/>
    <w:rsid w:val="00C741B2"/>
    <w:rsid w:val="00C839B3"/>
    <w:rsid w:val="00C9229F"/>
    <w:rsid w:val="00CA0633"/>
    <w:rsid w:val="00CC0C59"/>
    <w:rsid w:val="00CC1024"/>
    <w:rsid w:val="00CD072F"/>
    <w:rsid w:val="00CD10AA"/>
    <w:rsid w:val="00CD652F"/>
    <w:rsid w:val="00CE0EE4"/>
    <w:rsid w:val="00CE7B1F"/>
    <w:rsid w:val="00CF1D28"/>
    <w:rsid w:val="00CF270A"/>
    <w:rsid w:val="00CF74F8"/>
    <w:rsid w:val="00D10BD4"/>
    <w:rsid w:val="00D222E4"/>
    <w:rsid w:val="00D2287A"/>
    <w:rsid w:val="00D242A0"/>
    <w:rsid w:val="00D32D3F"/>
    <w:rsid w:val="00D3427E"/>
    <w:rsid w:val="00D35738"/>
    <w:rsid w:val="00D47E4F"/>
    <w:rsid w:val="00D5514E"/>
    <w:rsid w:val="00D70216"/>
    <w:rsid w:val="00D74450"/>
    <w:rsid w:val="00D8386A"/>
    <w:rsid w:val="00D85A62"/>
    <w:rsid w:val="00D92614"/>
    <w:rsid w:val="00D93E51"/>
    <w:rsid w:val="00DA1129"/>
    <w:rsid w:val="00DA5E30"/>
    <w:rsid w:val="00DA77D0"/>
    <w:rsid w:val="00DB36B1"/>
    <w:rsid w:val="00DB3D01"/>
    <w:rsid w:val="00DB7679"/>
    <w:rsid w:val="00DC124D"/>
    <w:rsid w:val="00DC33E3"/>
    <w:rsid w:val="00DC3D3F"/>
    <w:rsid w:val="00DC524E"/>
    <w:rsid w:val="00DE6AA9"/>
    <w:rsid w:val="00DF32D3"/>
    <w:rsid w:val="00DF375F"/>
    <w:rsid w:val="00DF50C4"/>
    <w:rsid w:val="00E0034F"/>
    <w:rsid w:val="00E02667"/>
    <w:rsid w:val="00E02B45"/>
    <w:rsid w:val="00E069EF"/>
    <w:rsid w:val="00E1067A"/>
    <w:rsid w:val="00E109F6"/>
    <w:rsid w:val="00E22EAB"/>
    <w:rsid w:val="00E23ED9"/>
    <w:rsid w:val="00E306E4"/>
    <w:rsid w:val="00E32FCC"/>
    <w:rsid w:val="00E34356"/>
    <w:rsid w:val="00E4016F"/>
    <w:rsid w:val="00E420B1"/>
    <w:rsid w:val="00E421FB"/>
    <w:rsid w:val="00E42E4D"/>
    <w:rsid w:val="00E56989"/>
    <w:rsid w:val="00E56C55"/>
    <w:rsid w:val="00E62D28"/>
    <w:rsid w:val="00E674F0"/>
    <w:rsid w:val="00E75843"/>
    <w:rsid w:val="00E8650F"/>
    <w:rsid w:val="00E9057D"/>
    <w:rsid w:val="00E90D86"/>
    <w:rsid w:val="00E96518"/>
    <w:rsid w:val="00EA04A0"/>
    <w:rsid w:val="00EA2490"/>
    <w:rsid w:val="00EA2A12"/>
    <w:rsid w:val="00EA3E63"/>
    <w:rsid w:val="00EC2776"/>
    <w:rsid w:val="00EC40E8"/>
    <w:rsid w:val="00ED3E53"/>
    <w:rsid w:val="00EE7A95"/>
    <w:rsid w:val="00EF45E4"/>
    <w:rsid w:val="00F0002F"/>
    <w:rsid w:val="00F04F75"/>
    <w:rsid w:val="00F15D23"/>
    <w:rsid w:val="00F2094C"/>
    <w:rsid w:val="00F21D9D"/>
    <w:rsid w:val="00F23874"/>
    <w:rsid w:val="00F2638C"/>
    <w:rsid w:val="00F27E1F"/>
    <w:rsid w:val="00F419C1"/>
    <w:rsid w:val="00F42BE8"/>
    <w:rsid w:val="00F47CCC"/>
    <w:rsid w:val="00F47D20"/>
    <w:rsid w:val="00F536D6"/>
    <w:rsid w:val="00F54F26"/>
    <w:rsid w:val="00F616EB"/>
    <w:rsid w:val="00F62EBE"/>
    <w:rsid w:val="00F66361"/>
    <w:rsid w:val="00F83BD1"/>
    <w:rsid w:val="00F92484"/>
    <w:rsid w:val="00FA51C5"/>
    <w:rsid w:val="00FA5E28"/>
    <w:rsid w:val="00FA68E0"/>
    <w:rsid w:val="00FB35B8"/>
    <w:rsid w:val="00FB6C82"/>
    <w:rsid w:val="00FC32CE"/>
    <w:rsid w:val="00FE4D87"/>
    <w:rsid w:val="00FF3254"/>
    <w:rsid w:val="00FF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88E905"/>
  <w15:chartTrackingRefBased/>
  <w15:docId w15:val="{B360E764-53E6-4A21-BDE5-DCA66F54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CHead">
    <w:name w:val="JC Head"/>
    <w:basedOn w:val="Normal"/>
    <w:rPr>
      <w:b/>
      <w:sz w:val="28"/>
    </w:rPr>
  </w:style>
  <w:style w:type="paragraph" w:customStyle="1" w:styleId="JCinput">
    <w:name w:val="JC input"/>
    <w:basedOn w:val="Normal"/>
    <w:rPr>
      <w:rFonts w:ascii="Arial" w:hAnsi="Arial"/>
      <w:b/>
      <w:sz w:val="32"/>
    </w:rPr>
  </w:style>
  <w:style w:type="paragraph" w:customStyle="1" w:styleId="JCtext">
    <w:name w:val="JC text"/>
    <w:basedOn w:val="Normal"/>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customStyle="1" w:styleId="MTEquationSection">
    <w:name w:val="MTEquationSection"/>
    <w:rPr>
      <w:vanish/>
      <w:color w:val="FF0000"/>
    </w:rPr>
  </w:style>
  <w:style w:type="character" w:customStyle="1" w:styleId="FooterChar">
    <w:name w:val="Footer Char"/>
    <w:link w:val="Footer"/>
    <w:uiPriority w:val="99"/>
    <w:rsid w:val="0002366A"/>
    <w:rPr>
      <w:sz w:val="24"/>
    </w:rPr>
  </w:style>
  <w:style w:type="character" w:styleId="CommentReference">
    <w:name w:val="annotation reference"/>
    <w:basedOn w:val="DefaultParagraphFont"/>
    <w:uiPriority w:val="99"/>
    <w:unhideWhenUsed/>
    <w:rsid w:val="00A52418"/>
    <w:rPr>
      <w:sz w:val="16"/>
      <w:szCs w:val="16"/>
    </w:rPr>
  </w:style>
  <w:style w:type="paragraph" w:styleId="CommentText">
    <w:name w:val="annotation text"/>
    <w:basedOn w:val="Normal"/>
    <w:link w:val="CommentTextChar"/>
    <w:uiPriority w:val="99"/>
    <w:unhideWhenUsed/>
    <w:rsid w:val="00A52418"/>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A52418"/>
    <w:rPr>
      <w:rFonts w:asciiTheme="minorHAnsi" w:eastAsiaTheme="minorHAnsi" w:hAnsiTheme="minorHAnsi" w:cstheme="minorBidi"/>
    </w:rPr>
  </w:style>
  <w:style w:type="paragraph" w:styleId="BalloonText">
    <w:name w:val="Balloon Text"/>
    <w:basedOn w:val="Normal"/>
    <w:link w:val="BalloonTextChar"/>
    <w:rsid w:val="00A52418"/>
    <w:rPr>
      <w:rFonts w:ascii="Segoe UI" w:hAnsi="Segoe UI" w:cs="Segoe UI"/>
      <w:sz w:val="18"/>
      <w:szCs w:val="18"/>
    </w:rPr>
  </w:style>
  <w:style w:type="character" w:customStyle="1" w:styleId="BalloonTextChar">
    <w:name w:val="Balloon Text Char"/>
    <w:basedOn w:val="DefaultParagraphFont"/>
    <w:link w:val="BalloonText"/>
    <w:rsid w:val="00A52418"/>
    <w:rPr>
      <w:rFonts w:ascii="Segoe UI" w:hAnsi="Segoe UI" w:cs="Segoe UI"/>
      <w:sz w:val="18"/>
      <w:szCs w:val="18"/>
    </w:rPr>
  </w:style>
  <w:style w:type="character" w:customStyle="1" w:styleId="HeaderChar">
    <w:name w:val="Header Char"/>
    <w:basedOn w:val="DefaultParagraphFont"/>
    <w:link w:val="Header"/>
    <w:uiPriority w:val="99"/>
    <w:rsid w:val="00A52418"/>
    <w:rPr>
      <w:sz w:val="24"/>
    </w:rPr>
  </w:style>
  <w:style w:type="paragraph" w:styleId="CommentSubject">
    <w:name w:val="annotation subject"/>
    <w:basedOn w:val="CommentText"/>
    <w:next w:val="CommentText"/>
    <w:link w:val="CommentSubjectChar"/>
    <w:rsid w:val="005D0DA4"/>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rsid w:val="005D0DA4"/>
    <w:rPr>
      <w:rFonts w:asciiTheme="minorHAnsi" w:eastAsiaTheme="minorHAnsi" w:hAnsiTheme="minorHAnsi" w:cstheme="minorBidi"/>
      <w:b/>
      <w:bCs/>
    </w:rPr>
  </w:style>
  <w:style w:type="paragraph" w:styleId="ListParagraph">
    <w:name w:val="List Paragraph"/>
    <w:basedOn w:val="Normal"/>
    <w:uiPriority w:val="34"/>
    <w:qFormat/>
    <w:rsid w:val="00F47D20"/>
    <w:pPr>
      <w:ind w:left="720"/>
      <w:contextualSpacing/>
    </w:pPr>
  </w:style>
  <w:style w:type="character" w:customStyle="1" w:styleId="UnresolvedMention1">
    <w:name w:val="Unresolved Mention1"/>
    <w:basedOn w:val="DefaultParagraphFont"/>
    <w:uiPriority w:val="99"/>
    <w:semiHidden/>
    <w:unhideWhenUsed/>
    <w:rsid w:val="00BE3DDE"/>
    <w:rPr>
      <w:color w:val="605E5C"/>
      <w:shd w:val="clear" w:color="auto" w:fill="E1DFDD"/>
    </w:rPr>
  </w:style>
  <w:style w:type="paragraph" w:styleId="Revision">
    <w:name w:val="Revision"/>
    <w:hidden/>
    <w:uiPriority w:val="99"/>
    <w:semiHidden/>
    <w:rsid w:val="00DC124D"/>
    <w:rPr>
      <w:sz w:val="24"/>
    </w:rPr>
  </w:style>
  <w:style w:type="paragraph" w:styleId="NormalWeb">
    <w:name w:val="Normal (Web)"/>
    <w:basedOn w:val="Normal"/>
    <w:uiPriority w:val="99"/>
    <w:unhideWhenUsed/>
    <w:rsid w:val="002F4069"/>
    <w:pPr>
      <w:spacing w:before="100" w:beforeAutospacing="1" w:after="100" w:afterAutospacing="1"/>
    </w:pPr>
    <w:rPr>
      <w:rFonts w:eastAsiaTheme="minorEastAsia"/>
      <w:szCs w:val="24"/>
    </w:rPr>
  </w:style>
  <w:style w:type="character" w:styleId="IntenseEmphasis">
    <w:name w:val="Intense Emphasis"/>
    <w:basedOn w:val="DefaultParagraphFont"/>
    <w:uiPriority w:val="21"/>
    <w:qFormat/>
    <w:rsid w:val="007E056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40052">
      <w:bodyDiv w:val="1"/>
      <w:marLeft w:val="0"/>
      <w:marRight w:val="0"/>
      <w:marTop w:val="0"/>
      <w:marBottom w:val="0"/>
      <w:divBdr>
        <w:top w:val="none" w:sz="0" w:space="0" w:color="auto"/>
        <w:left w:val="none" w:sz="0" w:space="0" w:color="auto"/>
        <w:bottom w:val="none" w:sz="0" w:space="0" w:color="auto"/>
        <w:right w:val="none" w:sz="0" w:space="0" w:color="auto"/>
      </w:divBdr>
    </w:div>
    <w:div w:id="106511214">
      <w:bodyDiv w:val="1"/>
      <w:marLeft w:val="0"/>
      <w:marRight w:val="0"/>
      <w:marTop w:val="0"/>
      <w:marBottom w:val="0"/>
      <w:divBdr>
        <w:top w:val="none" w:sz="0" w:space="0" w:color="auto"/>
        <w:left w:val="none" w:sz="0" w:space="0" w:color="auto"/>
        <w:bottom w:val="none" w:sz="0" w:space="0" w:color="auto"/>
        <w:right w:val="none" w:sz="0" w:space="0" w:color="auto"/>
      </w:divBdr>
    </w:div>
    <w:div w:id="174998267">
      <w:bodyDiv w:val="1"/>
      <w:marLeft w:val="0"/>
      <w:marRight w:val="0"/>
      <w:marTop w:val="0"/>
      <w:marBottom w:val="0"/>
      <w:divBdr>
        <w:top w:val="none" w:sz="0" w:space="0" w:color="auto"/>
        <w:left w:val="none" w:sz="0" w:space="0" w:color="auto"/>
        <w:bottom w:val="none" w:sz="0" w:space="0" w:color="auto"/>
        <w:right w:val="none" w:sz="0" w:space="0" w:color="auto"/>
      </w:divBdr>
    </w:div>
    <w:div w:id="302389143">
      <w:bodyDiv w:val="1"/>
      <w:marLeft w:val="0"/>
      <w:marRight w:val="0"/>
      <w:marTop w:val="0"/>
      <w:marBottom w:val="0"/>
      <w:divBdr>
        <w:top w:val="none" w:sz="0" w:space="0" w:color="auto"/>
        <w:left w:val="none" w:sz="0" w:space="0" w:color="auto"/>
        <w:bottom w:val="none" w:sz="0" w:space="0" w:color="auto"/>
        <w:right w:val="none" w:sz="0" w:space="0" w:color="auto"/>
      </w:divBdr>
    </w:div>
    <w:div w:id="416948932">
      <w:bodyDiv w:val="1"/>
      <w:marLeft w:val="0"/>
      <w:marRight w:val="0"/>
      <w:marTop w:val="0"/>
      <w:marBottom w:val="0"/>
      <w:divBdr>
        <w:top w:val="none" w:sz="0" w:space="0" w:color="auto"/>
        <w:left w:val="none" w:sz="0" w:space="0" w:color="auto"/>
        <w:bottom w:val="none" w:sz="0" w:space="0" w:color="auto"/>
        <w:right w:val="none" w:sz="0" w:space="0" w:color="auto"/>
      </w:divBdr>
    </w:div>
    <w:div w:id="440339711">
      <w:bodyDiv w:val="1"/>
      <w:marLeft w:val="0"/>
      <w:marRight w:val="0"/>
      <w:marTop w:val="0"/>
      <w:marBottom w:val="0"/>
      <w:divBdr>
        <w:top w:val="none" w:sz="0" w:space="0" w:color="auto"/>
        <w:left w:val="none" w:sz="0" w:space="0" w:color="auto"/>
        <w:bottom w:val="none" w:sz="0" w:space="0" w:color="auto"/>
        <w:right w:val="none" w:sz="0" w:space="0" w:color="auto"/>
      </w:divBdr>
    </w:div>
    <w:div w:id="549734893">
      <w:bodyDiv w:val="1"/>
      <w:marLeft w:val="0"/>
      <w:marRight w:val="0"/>
      <w:marTop w:val="0"/>
      <w:marBottom w:val="0"/>
      <w:divBdr>
        <w:top w:val="none" w:sz="0" w:space="0" w:color="auto"/>
        <w:left w:val="none" w:sz="0" w:space="0" w:color="auto"/>
        <w:bottom w:val="none" w:sz="0" w:space="0" w:color="auto"/>
        <w:right w:val="none" w:sz="0" w:space="0" w:color="auto"/>
      </w:divBdr>
    </w:div>
    <w:div w:id="601186032">
      <w:bodyDiv w:val="1"/>
      <w:marLeft w:val="0"/>
      <w:marRight w:val="0"/>
      <w:marTop w:val="0"/>
      <w:marBottom w:val="0"/>
      <w:divBdr>
        <w:top w:val="none" w:sz="0" w:space="0" w:color="auto"/>
        <w:left w:val="none" w:sz="0" w:space="0" w:color="auto"/>
        <w:bottom w:val="none" w:sz="0" w:space="0" w:color="auto"/>
        <w:right w:val="none" w:sz="0" w:space="0" w:color="auto"/>
      </w:divBdr>
    </w:div>
    <w:div w:id="636498522">
      <w:bodyDiv w:val="1"/>
      <w:marLeft w:val="0"/>
      <w:marRight w:val="0"/>
      <w:marTop w:val="0"/>
      <w:marBottom w:val="0"/>
      <w:divBdr>
        <w:top w:val="none" w:sz="0" w:space="0" w:color="auto"/>
        <w:left w:val="none" w:sz="0" w:space="0" w:color="auto"/>
        <w:bottom w:val="none" w:sz="0" w:space="0" w:color="auto"/>
        <w:right w:val="none" w:sz="0" w:space="0" w:color="auto"/>
      </w:divBdr>
    </w:div>
    <w:div w:id="732387820">
      <w:bodyDiv w:val="1"/>
      <w:marLeft w:val="0"/>
      <w:marRight w:val="0"/>
      <w:marTop w:val="0"/>
      <w:marBottom w:val="0"/>
      <w:divBdr>
        <w:top w:val="none" w:sz="0" w:space="0" w:color="auto"/>
        <w:left w:val="none" w:sz="0" w:space="0" w:color="auto"/>
        <w:bottom w:val="none" w:sz="0" w:space="0" w:color="auto"/>
        <w:right w:val="none" w:sz="0" w:space="0" w:color="auto"/>
      </w:divBdr>
    </w:div>
    <w:div w:id="751052721">
      <w:bodyDiv w:val="1"/>
      <w:marLeft w:val="0"/>
      <w:marRight w:val="0"/>
      <w:marTop w:val="0"/>
      <w:marBottom w:val="0"/>
      <w:divBdr>
        <w:top w:val="none" w:sz="0" w:space="0" w:color="auto"/>
        <w:left w:val="none" w:sz="0" w:space="0" w:color="auto"/>
        <w:bottom w:val="none" w:sz="0" w:space="0" w:color="auto"/>
        <w:right w:val="none" w:sz="0" w:space="0" w:color="auto"/>
      </w:divBdr>
    </w:div>
    <w:div w:id="880870584">
      <w:bodyDiv w:val="1"/>
      <w:marLeft w:val="0"/>
      <w:marRight w:val="0"/>
      <w:marTop w:val="0"/>
      <w:marBottom w:val="0"/>
      <w:divBdr>
        <w:top w:val="none" w:sz="0" w:space="0" w:color="auto"/>
        <w:left w:val="none" w:sz="0" w:space="0" w:color="auto"/>
        <w:bottom w:val="none" w:sz="0" w:space="0" w:color="auto"/>
        <w:right w:val="none" w:sz="0" w:space="0" w:color="auto"/>
      </w:divBdr>
    </w:div>
    <w:div w:id="1050570601">
      <w:bodyDiv w:val="1"/>
      <w:marLeft w:val="0"/>
      <w:marRight w:val="0"/>
      <w:marTop w:val="0"/>
      <w:marBottom w:val="0"/>
      <w:divBdr>
        <w:top w:val="none" w:sz="0" w:space="0" w:color="auto"/>
        <w:left w:val="none" w:sz="0" w:space="0" w:color="auto"/>
        <w:bottom w:val="none" w:sz="0" w:space="0" w:color="auto"/>
        <w:right w:val="none" w:sz="0" w:space="0" w:color="auto"/>
      </w:divBdr>
    </w:div>
    <w:div w:id="1101102920">
      <w:bodyDiv w:val="1"/>
      <w:marLeft w:val="0"/>
      <w:marRight w:val="0"/>
      <w:marTop w:val="0"/>
      <w:marBottom w:val="0"/>
      <w:divBdr>
        <w:top w:val="none" w:sz="0" w:space="0" w:color="auto"/>
        <w:left w:val="none" w:sz="0" w:space="0" w:color="auto"/>
        <w:bottom w:val="none" w:sz="0" w:space="0" w:color="auto"/>
        <w:right w:val="none" w:sz="0" w:space="0" w:color="auto"/>
      </w:divBdr>
    </w:div>
    <w:div w:id="1450315313">
      <w:bodyDiv w:val="1"/>
      <w:marLeft w:val="0"/>
      <w:marRight w:val="0"/>
      <w:marTop w:val="0"/>
      <w:marBottom w:val="0"/>
      <w:divBdr>
        <w:top w:val="none" w:sz="0" w:space="0" w:color="auto"/>
        <w:left w:val="none" w:sz="0" w:space="0" w:color="auto"/>
        <w:bottom w:val="none" w:sz="0" w:space="0" w:color="auto"/>
        <w:right w:val="none" w:sz="0" w:space="0" w:color="auto"/>
      </w:divBdr>
    </w:div>
    <w:div w:id="1471751974">
      <w:bodyDiv w:val="1"/>
      <w:marLeft w:val="0"/>
      <w:marRight w:val="0"/>
      <w:marTop w:val="0"/>
      <w:marBottom w:val="0"/>
      <w:divBdr>
        <w:top w:val="none" w:sz="0" w:space="0" w:color="auto"/>
        <w:left w:val="none" w:sz="0" w:space="0" w:color="auto"/>
        <w:bottom w:val="none" w:sz="0" w:space="0" w:color="auto"/>
        <w:right w:val="none" w:sz="0" w:space="0" w:color="auto"/>
      </w:divBdr>
    </w:div>
    <w:div w:id="1501581285">
      <w:bodyDiv w:val="1"/>
      <w:marLeft w:val="0"/>
      <w:marRight w:val="0"/>
      <w:marTop w:val="0"/>
      <w:marBottom w:val="0"/>
      <w:divBdr>
        <w:top w:val="none" w:sz="0" w:space="0" w:color="auto"/>
        <w:left w:val="none" w:sz="0" w:space="0" w:color="auto"/>
        <w:bottom w:val="none" w:sz="0" w:space="0" w:color="auto"/>
        <w:right w:val="none" w:sz="0" w:space="0" w:color="auto"/>
      </w:divBdr>
    </w:div>
    <w:div w:id="1642928794">
      <w:bodyDiv w:val="1"/>
      <w:marLeft w:val="0"/>
      <w:marRight w:val="0"/>
      <w:marTop w:val="0"/>
      <w:marBottom w:val="0"/>
      <w:divBdr>
        <w:top w:val="none" w:sz="0" w:space="0" w:color="auto"/>
        <w:left w:val="none" w:sz="0" w:space="0" w:color="auto"/>
        <w:bottom w:val="none" w:sz="0" w:space="0" w:color="auto"/>
        <w:right w:val="none" w:sz="0" w:space="0" w:color="auto"/>
      </w:divBdr>
      <w:divsChild>
        <w:div w:id="337511732">
          <w:marLeft w:val="360"/>
          <w:marRight w:val="0"/>
          <w:marTop w:val="200"/>
          <w:marBottom w:val="0"/>
          <w:divBdr>
            <w:top w:val="none" w:sz="0" w:space="0" w:color="auto"/>
            <w:left w:val="none" w:sz="0" w:space="0" w:color="auto"/>
            <w:bottom w:val="none" w:sz="0" w:space="0" w:color="auto"/>
            <w:right w:val="none" w:sz="0" w:space="0" w:color="auto"/>
          </w:divBdr>
        </w:div>
        <w:div w:id="1713769905">
          <w:marLeft w:val="360"/>
          <w:marRight w:val="0"/>
          <w:marTop w:val="200"/>
          <w:marBottom w:val="0"/>
          <w:divBdr>
            <w:top w:val="none" w:sz="0" w:space="0" w:color="auto"/>
            <w:left w:val="none" w:sz="0" w:space="0" w:color="auto"/>
            <w:bottom w:val="none" w:sz="0" w:space="0" w:color="auto"/>
            <w:right w:val="none" w:sz="0" w:space="0" w:color="auto"/>
          </w:divBdr>
        </w:div>
        <w:div w:id="1720589617">
          <w:marLeft w:val="1080"/>
          <w:marRight w:val="0"/>
          <w:marTop w:val="100"/>
          <w:marBottom w:val="0"/>
          <w:divBdr>
            <w:top w:val="none" w:sz="0" w:space="0" w:color="auto"/>
            <w:left w:val="none" w:sz="0" w:space="0" w:color="auto"/>
            <w:bottom w:val="none" w:sz="0" w:space="0" w:color="auto"/>
            <w:right w:val="none" w:sz="0" w:space="0" w:color="auto"/>
          </w:divBdr>
        </w:div>
        <w:div w:id="892274451">
          <w:marLeft w:val="1080"/>
          <w:marRight w:val="0"/>
          <w:marTop w:val="100"/>
          <w:marBottom w:val="0"/>
          <w:divBdr>
            <w:top w:val="none" w:sz="0" w:space="0" w:color="auto"/>
            <w:left w:val="none" w:sz="0" w:space="0" w:color="auto"/>
            <w:bottom w:val="none" w:sz="0" w:space="0" w:color="auto"/>
            <w:right w:val="none" w:sz="0" w:space="0" w:color="auto"/>
          </w:divBdr>
        </w:div>
      </w:divsChild>
    </w:div>
    <w:div w:id="1713117116">
      <w:bodyDiv w:val="1"/>
      <w:marLeft w:val="0"/>
      <w:marRight w:val="0"/>
      <w:marTop w:val="0"/>
      <w:marBottom w:val="0"/>
      <w:divBdr>
        <w:top w:val="none" w:sz="0" w:space="0" w:color="auto"/>
        <w:left w:val="none" w:sz="0" w:space="0" w:color="auto"/>
        <w:bottom w:val="none" w:sz="0" w:space="0" w:color="auto"/>
        <w:right w:val="none" w:sz="0" w:space="0" w:color="auto"/>
      </w:divBdr>
    </w:div>
    <w:div w:id="1738942614">
      <w:bodyDiv w:val="1"/>
      <w:marLeft w:val="0"/>
      <w:marRight w:val="0"/>
      <w:marTop w:val="0"/>
      <w:marBottom w:val="0"/>
      <w:divBdr>
        <w:top w:val="none" w:sz="0" w:space="0" w:color="auto"/>
        <w:left w:val="none" w:sz="0" w:space="0" w:color="auto"/>
        <w:bottom w:val="none" w:sz="0" w:space="0" w:color="auto"/>
        <w:right w:val="none" w:sz="0" w:space="0" w:color="auto"/>
      </w:divBdr>
      <w:divsChild>
        <w:div w:id="11731434">
          <w:marLeft w:val="360"/>
          <w:marRight w:val="0"/>
          <w:marTop w:val="200"/>
          <w:marBottom w:val="0"/>
          <w:divBdr>
            <w:top w:val="none" w:sz="0" w:space="0" w:color="auto"/>
            <w:left w:val="none" w:sz="0" w:space="0" w:color="auto"/>
            <w:bottom w:val="none" w:sz="0" w:space="0" w:color="auto"/>
            <w:right w:val="none" w:sz="0" w:space="0" w:color="auto"/>
          </w:divBdr>
        </w:div>
      </w:divsChild>
    </w:div>
    <w:div w:id="1743412013">
      <w:bodyDiv w:val="1"/>
      <w:marLeft w:val="0"/>
      <w:marRight w:val="0"/>
      <w:marTop w:val="0"/>
      <w:marBottom w:val="0"/>
      <w:divBdr>
        <w:top w:val="none" w:sz="0" w:space="0" w:color="auto"/>
        <w:left w:val="none" w:sz="0" w:space="0" w:color="auto"/>
        <w:bottom w:val="none" w:sz="0" w:space="0" w:color="auto"/>
        <w:right w:val="none" w:sz="0" w:space="0" w:color="auto"/>
      </w:divBdr>
    </w:div>
    <w:div w:id="1783836087">
      <w:bodyDiv w:val="1"/>
      <w:marLeft w:val="0"/>
      <w:marRight w:val="0"/>
      <w:marTop w:val="0"/>
      <w:marBottom w:val="0"/>
      <w:divBdr>
        <w:top w:val="none" w:sz="0" w:space="0" w:color="auto"/>
        <w:left w:val="none" w:sz="0" w:space="0" w:color="auto"/>
        <w:bottom w:val="none" w:sz="0" w:space="0" w:color="auto"/>
        <w:right w:val="none" w:sz="0" w:space="0" w:color="auto"/>
      </w:divBdr>
    </w:div>
    <w:div w:id="205680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9E43A-6150-4BAB-89CF-F231C79FE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4</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Letter</vt:lpstr>
    </vt:vector>
  </TitlesOfParts>
  <Company>Resources For The Future</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
  <dc:creator>Michael Zwirn</dc:creator>
  <cp:keywords/>
  <cp:lastModifiedBy>Wibbenmeyer, Matthew</cp:lastModifiedBy>
  <cp:revision>108</cp:revision>
  <cp:lastPrinted>2019-04-19T13:57:00Z</cp:lastPrinted>
  <dcterms:created xsi:type="dcterms:W3CDTF">2020-04-17T13:26:00Z</dcterms:created>
  <dcterms:modified xsi:type="dcterms:W3CDTF">2020-04-20T20:53:00Z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