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Uptiq AI Workbench Output Document</w:t>
      </w:r>
    </w:p>
    <w:p w:rsidR="00000000" w:rsidDel="00000000" w:rsidP="00000000" w:rsidRDefault="00000000" w:rsidRPr="00000000" w14:paraId="0000000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Overview:</w:t>
      </w:r>
    </w:p>
    <w:p w:rsidR="00000000" w:rsidDel="00000000" w:rsidP="00000000" w:rsidRDefault="00000000" w:rsidRPr="00000000" w14:paraId="00000006">
      <w:pPr>
        <w:ind w:left="-63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92798" cy="4494042"/>
            <wp:effectExtent b="12700" l="12700" r="12700" t="127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2798" cy="44940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 Reader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a.Income Sheet Reader: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43263" cy="3846177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8461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67100"/>
            <wp:effectExtent b="12700" l="12700" r="12700" t="127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b.Cash Flow Statement Reader:</w:t>
      </w:r>
    </w:p>
    <w:p w:rsidR="00000000" w:rsidDel="00000000" w:rsidP="00000000" w:rsidRDefault="00000000" w:rsidRPr="00000000" w14:paraId="0000000D">
      <w:pPr>
        <w:ind w:left="-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396038" cy="4018024"/>
            <wp:effectExtent b="12700" l="12700" r="12700" t="127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40180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53025" cy="7496175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96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c.Balance Sheet Reader: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51200"/>
            <wp:effectExtent b="12700" l="12700" r="12700" t="127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91100" cy="7553325"/>
            <wp:effectExtent b="12700" l="12700" r="12700" t="1270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553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Stock and Inventory Advisor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981200"/>
            <wp:effectExtent b="12700" l="12700" r="12700" t="127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517900"/>
            <wp:effectExtent b="12700" l="12700" r="12700" t="127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News Alert (moneycontrol.com)</w:t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739689" cy="2646192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9689" cy="26461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59100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Loan and Credit Analysis (bestfd.in)</w:t>
      </w:r>
    </w:p>
    <w:p w:rsidR="00000000" w:rsidDel="00000000" w:rsidP="00000000" w:rsidRDefault="00000000" w:rsidRPr="00000000" w14:paraId="0000002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83920" cy="2157413"/>
            <wp:effectExtent b="12700" l="12700" r="12700" t="127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920" cy="2157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14500"/>
            <wp:effectExtent b="12700" l="12700" r="12700" t="127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Cash Flow and Investment Management</w:t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59000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25800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Challenges we faced </w:t>
      </w:r>
      <w:r w:rsidDel="00000000" w:rsidR="00000000" w:rsidRPr="00000000">
        <w:rPr>
          <w:sz w:val="28"/>
          <w:szCs w:val="28"/>
          <w:rtl w:val="0"/>
        </w:rPr>
        <w:t xml:space="preserve">during creation of agents in UPTIQ AI Document Link : </w:t>
      </w:r>
      <w:hyperlink r:id="rId21">
        <w:r w:rsidDel="00000000" w:rsidR="00000000" w:rsidRPr="00000000">
          <w:rPr>
            <w:color w:val="0000ee"/>
            <w:sz w:val="28"/>
            <w:szCs w:val="28"/>
            <w:u w:val="single"/>
            <w:rtl w:val="0"/>
          </w:rPr>
          <w:t xml:space="preserve">SYRUS UPTIQ AI PROBLEMS 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(also contains reason as to why the output looks </w:t>
      </w:r>
      <w:r w:rsidDel="00000000" w:rsidR="00000000" w:rsidRPr="00000000">
        <w:rPr>
          <w:b w:val="1"/>
          <w:sz w:val="28"/>
          <w:szCs w:val="28"/>
          <w:rtl w:val="0"/>
        </w:rPr>
        <w:t xml:space="preserve">cryptic for subagents</w:t>
      </w:r>
      <w:r w:rsidDel="00000000" w:rsidR="00000000" w:rsidRPr="00000000">
        <w:rPr>
          <w:sz w:val="28"/>
          <w:szCs w:val="28"/>
          <w:rtl w:val="0"/>
        </w:rPr>
        <w:t xml:space="preserve"> that output in json format)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21" Type="http://schemas.openxmlformats.org/officeDocument/2006/relationships/hyperlink" Target="https://docs.google.com/document/d/1Z3XwK1-BHcxPAWj-T-CdJDOwcl7FLI875ZaB0G_BQiQ/edit?usp=sharing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9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