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METADATA: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complex_id</w:t>
      </w:r>
      <w:r w:rsidDel="00000000" w:rsidR="00000000" w:rsidRPr="00000000">
        <w:rPr>
          <w:rtl w:val="0"/>
        </w:rPr>
        <w:t xml:space="preserve">: Which PDB structure this is from; for tracking predictions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: AA (antibody-antigen) or AS (other); antibodies have different patterns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total_delta_asa</w:t>
      </w:r>
      <w:r w:rsidDel="00000000" w:rsidR="00000000" w:rsidRPr="00000000">
        <w:rPr>
          <w:rtl w:val="0"/>
        </w:rPr>
        <w:t xml:space="preserve">: Total buried surface area; larger = stronger binding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i_rmsd</w:t>
      </w:r>
      <w:r w:rsidDel="00000000" w:rsidR="00000000" w:rsidRPr="00000000">
        <w:rPr>
          <w:rtl w:val="0"/>
        </w:rPr>
        <w:t xml:space="preserve">: Structure quality; &lt;2Å is good, &gt;5Å is poor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SEQUENCE: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sequence</w:t>
      </w:r>
      <w:r w:rsidDel="00000000" w:rsidR="00000000" w:rsidRPr="00000000">
        <w:rPr>
          <w:rtl w:val="0"/>
        </w:rPr>
        <w:t xml:space="preserve">: Raw amino acids; input to ESM-2 for embeddings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length</w:t>
      </w:r>
      <w:r w:rsidDel="00000000" w:rsidR="00000000" w:rsidRPr="00000000">
        <w:rPr>
          <w:rtl w:val="0"/>
        </w:rPr>
        <w:t xml:space="preserve">: Number of residues; defines feature vector size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LABELS: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interface_count</w:t>
      </w:r>
      <w:r w:rsidDel="00000000" w:rsidR="00000000" w:rsidRPr="00000000">
        <w:rPr>
          <w:rtl w:val="0"/>
        </w:rPr>
        <w:t xml:space="preserve">: How many residues touch the partner; typically 5-10%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interface_labels</w:t>
      </w:r>
      <w:r w:rsidDel="00000000" w:rsidR="00000000" w:rsidRPr="00000000">
        <w:rPr>
          <w:rtl w:val="0"/>
        </w:rPr>
        <w:t xml:space="preserve">: Ground truth (1=interface, 0=not); what we are predicting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GEOMETRY (Strongest predictors):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contact_number</w:t>
      </w:r>
      <w:r w:rsidDel="00000000" w:rsidR="00000000" w:rsidRPr="00000000">
        <w:rPr>
          <w:rtl w:val="0"/>
        </w:rPr>
        <w:t xml:space="preserve">: Atoms within 8Å sphere; interface HIGH (20-30), non-interface LOWER (5-15)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distance_to_partner</w:t>
      </w:r>
      <w:r w:rsidDel="00000000" w:rsidR="00000000" w:rsidRPr="00000000">
        <w:rPr>
          <w:rtl w:val="0"/>
        </w:rPr>
        <w:t xml:space="preserve">: Closest atom in partner protein; interface &lt;5Å, non-interface &gt;10Å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BIOCHEMISTRY: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hydrophobicity</w:t>
      </w:r>
      <w:r w:rsidDel="00000000" w:rsidR="00000000" w:rsidRPr="00000000">
        <w:rPr>
          <w:rtl w:val="0"/>
        </w:rPr>
        <w:t xml:space="preserve">: Kyte-Doolittle scale; interfaces cluster hydrophobic cores or charged residues (salt bridges)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asa_contribution</w:t>
      </w:r>
      <w:r w:rsidDel="00000000" w:rsidR="00000000" w:rsidRPr="00000000">
        <w:rPr>
          <w:rtl w:val="0"/>
        </w:rPr>
        <w:t xml:space="preserve">: Fraction of surface buried; interface 0.7-1.0, non-interface 0.0-0.3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