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rId53.png" ContentType="image/png"/>
  <Override PartName="/word/media/rId49.png" ContentType="image/png"/>
  <Override PartName="/word/media/rId45.png" ContentType="image/png"/>
  <Override PartName="/word/media/rId41.png" ContentType="image/png"/>
  <Override PartName="/word/media/rId37.png" ContentType="image/png"/>
  <Override PartName="/word/media/rId31.png" ContentType="image/png"/>
  <Override PartName="/word/media/rId27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Boletín</w:t>
      </w:r>
      <w:r>
        <w:t xml:space="preserve"> </w:t>
      </w:r>
      <w:r>
        <w:t xml:space="preserve">Estadístico\</w:t>
      </w:r>
      <w:r>
        <w:t xml:space="preserve"> </w:t>
      </w:r>
      <w:r>
        <w:t xml:space="preserve">Indice</w:t>
      </w:r>
      <w:r>
        <w:t xml:space="preserve"> </w:t>
      </w:r>
      <w:r>
        <w:t xml:space="preserve">de</w:t>
      </w:r>
      <w:r>
        <w:t xml:space="preserve"> </w:t>
      </w:r>
      <w:r>
        <w:t xml:space="preserve">pobreza</w:t>
      </w:r>
      <w:r>
        <w:t xml:space="preserve"> </w:t>
      </w:r>
      <w:r>
        <w:t xml:space="preserve">Región</w:t>
      </w:r>
      <w:r>
        <w:t xml:space="preserve"> </w:t>
      </w:r>
      <w:r>
        <w:t xml:space="preserve">de</w:t>
      </w:r>
      <w:r>
        <w:t xml:space="preserve"> </w:t>
      </w:r>
      <w:r>
        <w:t xml:space="preserve">Tarapacá</w:t>
      </w:r>
    </w:p>
    <w:p>
      <w:pPr>
        <w:pStyle w:val="Author"/>
      </w:pPr>
      <w:r>
        <w:t xml:space="preserve">Pablo</w:t>
      </w:r>
      <w:r>
        <w:t xml:space="preserve"> </w:t>
      </w:r>
      <w:r>
        <w:t xml:space="preserve">Aguirre</w:t>
      </w:r>
      <w:r>
        <w:t xml:space="preserve"> </w:t>
      </w:r>
      <w:r>
        <w:t xml:space="preserve">Hörmann</w:t>
      </w:r>
    </w:p>
    <w:p>
      <w:pPr>
        <w:pStyle w:val="Date"/>
      </w:pPr>
      <w:r>
        <w:t xml:space="preserve">11/10/2022</w:t>
      </w:r>
    </w:p>
    <w:bookmarkStart w:id="22" w:name="sobre-la-información-presentada-1"/>
    <w:p>
      <w:pPr>
        <w:pStyle w:val="Heading1"/>
      </w:pPr>
      <w:r>
        <w:t xml:space="preserve">1. Sobre la información presentada</w:t>
      </w:r>
      <w:r>
        <w:t xml:space="preserve"> </w:t>
      </w:r>
      <w:r>
        <w:rPr>
          <w:rStyle w:val="FootnoteReference"/>
        </w:rPr>
        <w:footnoteReference w:id="20"/>
      </w:r>
    </w:p>
    <w:bookmarkStart w:id="21" w:name="X5e82927e595e38ff0d18de78142c96f97d2a069"/>
    <w:p>
      <w:pPr>
        <w:pStyle w:val="Heading6"/>
      </w:pPr>
      <w:r>
        <w:t xml:space="preserve">A continuación, se presenta un ejemplo de minuta con diferentes indicadores asociados a la</w:t>
      </w:r>
      <w:r>
        <w:t xml:space="preserve"> </w:t>
      </w:r>
      <w:r>
        <w:rPr>
          <w:bCs/>
          <w:b/>
        </w:rPr>
        <w:t xml:space="preserve">Región de Tarapacá</w:t>
      </w:r>
      <w:r>
        <w:t xml:space="preserve">. Los datos son simulados y no deben ser considerados en ningún caso como información oficial de la SMA. Este reporte fue generado el</w:t>
      </w:r>
      <w:r>
        <w:t xml:space="preserve"> </w:t>
      </w:r>
      <w:r>
        <w:rPr>
          <w:bCs/>
          <w:b/>
        </w:rPr>
        <w:t xml:space="preserve">11/10/2022</w:t>
      </w:r>
      <w:r>
        <w:t xml:space="preserve">.</w:t>
      </w:r>
    </w:p>
    <w:bookmarkEnd w:id="21"/>
    <w:bookmarkEnd w:id="22"/>
    <w:bookmarkStart w:id="36" w:name="unidades-fiscalizables"/>
    <w:p>
      <w:pPr>
        <w:pStyle w:val="Heading1"/>
      </w:pPr>
      <w:r>
        <w:t xml:space="preserve">2. Unidades Fiscalizables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362</w:t>
      </w:r>
      <w:r>
        <w:t xml:space="preserve"> </w:t>
      </w:r>
      <w:r>
        <w:t xml:space="preserve">de las</w:t>
      </w:r>
      <w:r>
        <w:t xml:space="preserve"> </w:t>
      </w:r>
      <w:r>
        <w:rPr>
          <w:bCs/>
          <w:b/>
        </w:rPr>
        <w:t xml:space="preserve">15.773</w:t>
      </w:r>
      <w:r>
        <w:t xml:space="preserve"> </w:t>
      </w:r>
      <w:r>
        <w:t xml:space="preserve">Unidades Fiscalizables (UF) a nivel nacional corresponden a la</w:t>
      </w:r>
      <w:r>
        <w:t xml:space="preserve"> </w:t>
      </w:r>
      <w:r>
        <w:rPr>
          <w:bCs/>
          <w:b/>
        </w:rPr>
        <w:t xml:space="preserve">Región de Tarapacá</w:t>
      </w:r>
      <w:r>
        <w:t xml:space="preserve"> </w:t>
      </w:r>
      <w:r>
        <w:t xml:space="preserve">(2.3%).</w:t>
      </w:r>
    </w:p>
    <w:p>
      <w:pPr>
        <w:numPr>
          <w:ilvl w:val="0"/>
          <w:numId w:val="1001"/>
        </w:numPr>
        <w:pStyle w:val="Compact"/>
      </w:pPr>
      <w:r>
        <w:t xml:space="preserve">Estas se concentran mayoritariamente en la categoría</w:t>
      </w:r>
      <w:r>
        <w:t xml:space="preserve"> </w:t>
      </w:r>
      <w:r>
        <w:rPr>
          <w:bCs/>
          <w:b/>
        </w:rPr>
        <w:t xml:space="preserve">Equipamiento</w:t>
      </w:r>
      <w:r>
        <w:t xml:space="preserve"> </w:t>
      </w:r>
      <w:r>
        <w:t xml:space="preserve">(86 UFs), seguida por la</w:t>
      </w:r>
      <w:r>
        <w:t xml:space="preserve"> </w:t>
      </w:r>
      <w:r>
        <w:rPr>
          <w:bCs/>
          <w:b/>
        </w:rPr>
        <w:t xml:space="preserve">Minería</w:t>
      </w:r>
      <w:r>
        <w:t xml:space="preserve"> </w:t>
      </w:r>
      <w:r>
        <w:t xml:space="preserve">(42 UFs)</w:t>
      </w:r>
    </w:p>
    <w:bookmarkStart w:id="26" w:name="X31d678b257e504e0e48d1ddb4a15d6c0d545835"/>
    <w:p>
      <w:pPr>
        <w:pStyle w:val="Heading2"/>
      </w:pPr>
      <w:r>
        <w:t xml:space="preserve">2.1 Localización UFs en la Región de Tarapacá</w:t>
      </w:r>
    </w:p>
    <w:p>
      <w:pPr>
        <w:pStyle w:val="FirstParagraph"/>
      </w:pPr>
      <w:r>
        <w:drawing>
          <wp:inline>
            <wp:extent cx="3810000" cy="2857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pa/map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distribución-de-ufs-a-nivel-nacional"/>
    <w:p>
      <w:pPr>
        <w:pStyle w:val="Heading2"/>
      </w:pPr>
      <w:r>
        <w:t xml:space="preserve">2.2 Distribución de UFs a nivel nacional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eportes/Reporte_Tarapacá_11-10-2022_files/figure-docx/Gráfico:%20UFs%20por%20región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ufs-de-la-región-de-tarapacá-por-sector"/>
    <w:p>
      <w:pPr>
        <w:pStyle w:val="Heading2"/>
      </w:pPr>
      <w:r>
        <w:t xml:space="preserve">2.3 UFs de la Región de Tarapacá por sector</w:t>
      </w:r>
    </w:p>
    <w:p>
      <w:pPr>
        <w:pStyle w:val="FirstParagraph"/>
      </w:pPr>
      <w:r>
        <w:drawing>
          <wp:inline>
            <wp:extent cx="5504749" cy="2568882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portes/Reporte_Tarapacá_11-10-2022_files/figure-docx/Gráfico:%20UFs%20por%20categoría%20económica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56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Xa58ce2d8f970183bd939e925520de5fbd4249ba"/>
    <w:p>
      <w:pPr>
        <w:pStyle w:val="Heading2"/>
      </w:pPr>
      <w:r>
        <w:t xml:space="preserve">2.4 Las 5 Categorías Económicas de Región de Tarapacá con más RCA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2"/>
        <w:gridCol w:w="144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Categoría Económica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RCAs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Minería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Energía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Pesca y Acuicultura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Equipamiento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Saneamiento Ambiental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</w:tr>
    </w:tbl>
    <w:bookmarkEnd w:id="35"/>
    <w:bookmarkEnd w:id="36"/>
    <w:bookmarkStart w:id="58" w:name="formulaciones-de-cargo"/>
    <w:p>
      <w:pPr>
        <w:pStyle w:val="Heading1"/>
      </w:pPr>
      <w:r>
        <w:t xml:space="preserve">3. Formulaciones de cargo</w:t>
      </w:r>
    </w:p>
    <w:bookmarkStart w:id="57" w:name="formulaciones-de-cargo-fdc"/>
    <w:p>
      <w:pPr>
        <w:pStyle w:val="Heading2"/>
      </w:pPr>
      <w:r>
        <w:t xml:space="preserve">6.1 Formulaciones de cargo (FDC)</w:t>
      </w:r>
    </w:p>
    <w:p>
      <w:pPr>
        <w:numPr>
          <w:ilvl w:val="0"/>
          <w:numId w:val="1002"/>
        </w:numPr>
        <w:pStyle w:val="Compact"/>
      </w:pPr>
      <w:r>
        <w:t xml:space="preserve">La Región de Tarapacá ocupa el lugar 15 respecto al resto de las regiones en número de FdC.</w:t>
      </w:r>
    </w:p>
    <w:p>
      <w:pPr>
        <w:numPr>
          <w:ilvl w:val="0"/>
          <w:numId w:val="1002"/>
        </w:numPr>
        <w:pStyle w:val="Compact"/>
      </w:pPr>
      <w:r>
        <w:t xml:space="preserve">De</w:t>
      </w:r>
      <w:r>
        <w:t xml:space="preserve"> </w:t>
      </w:r>
      <w:r>
        <w:rPr>
          <w:bCs/>
          <w:b/>
        </w:rPr>
        <w:t xml:space="preserve">954</w:t>
      </w:r>
      <w:r>
        <w:t xml:space="preserve"> </w:t>
      </w:r>
      <w:r>
        <w:t xml:space="preserve">FdC,</w:t>
      </w:r>
      <w:r>
        <w:t xml:space="preserve"> </w:t>
      </w:r>
      <w:r>
        <w:rPr>
          <w:bCs/>
          <w:b/>
        </w:rPr>
        <w:t xml:space="preserve">26</w:t>
      </w:r>
      <w:r>
        <w:t xml:space="preserve"> </w:t>
      </w:r>
      <w:r>
        <w:t xml:space="preserve">(</w:t>
      </w:r>
      <w:r>
        <w:rPr>
          <w:bCs/>
          <w:b/>
        </w:rPr>
        <w:t xml:space="preserve">2,7%</w:t>
      </w:r>
      <w:r>
        <w:t xml:space="preserve">) han sido en la</w:t>
      </w:r>
      <w:r>
        <w:t xml:space="preserve"> </w:t>
      </w:r>
      <w:r>
        <w:rPr>
          <w:bCs/>
          <w:b/>
        </w:rPr>
        <w:t xml:space="preserve">Región de Tarapacá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Dentro de la</w:t>
      </w:r>
      <w:r>
        <w:t xml:space="preserve"> </w:t>
      </w:r>
      <w:r>
        <w:rPr>
          <w:bCs/>
          <w:b/>
        </w:rPr>
        <w:t xml:space="preserve">Región de Tarapacá</w:t>
      </w:r>
      <w:r>
        <w:t xml:space="preserve">, 73,1% de las FdC fueron iniciadas a partir de</w:t>
      </w:r>
      <w:r>
        <w:t xml:space="preserve"> </w:t>
      </w:r>
      <w:r>
        <w:rPr>
          <w:bCs/>
          <w:b/>
        </w:rPr>
        <w:t xml:space="preserve">denuncias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Equipamiento</w:t>
      </w:r>
      <w:r>
        <w:t xml:space="preserve"> </w:t>
      </w:r>
      <w:r>
        <w:t xml:space="preserve">es el sector que concentra el mayor número de FdC en la Región de Tarapacá (11) seguida por</w:t>
      </w:r>
      <w:r>
        <w:t xml:space="preserve"> </w:t>
      </w:r>
      <w:r>
        <w:rPr>
          <w:bCs/>
          <w:b/>
        </w:rPr>
        <w:t xml:space="preserve">Minería</w:t>
      </w:r>
      <w:r>
        <w:t xml:space="preserve"> </w:t>
      </w:r>
      <w:r>
        <w:t xml:space="preserve">(6).</w:t>
      </w:r>
    </w:p>
    <w:bookmarkStart w:id="40" w:name="fdc-por-región"/>
    <w:p>
      <w:pPr>
        <w:pStyle w:val="Heading3"/>
      </w:pPr>
      <w:r>
        <w:t xml:space="preserve">FDC por región</w:t>
      </w:r>
    </w:p>
    <w:p>
      <w:pPr>
        <w:pStyle w:val="FirstParagraph"/>
      </w:pPr>
      <w:r>
        <w:drawing>
          <wp:inline>
            <wp:extent cx="5600700" cy="256032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eportes/Reporte_Tarapacá_11-10-2022_files/figure-docx/Gráfico:%20FDC%20region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X92a2d32fadd09f5783ff9b9fa5470d35d7852fd"/>
    <w:p>
      <w:pPr>
        <w:pStyle w:val="Heading3"/>
      </w:pPr>
      <w:r>
        <w:t xml:space="preserve">FDC asociadas a la Región de Tarapacá por año</w:t>
      </w:r>
    </w:p>
    <w:p>
      <w:pPr>
        <w:pStyle w:val="FirstParagraph"/>
      </w:pPr>
      <w:r>
        <w:drawing>
          <wp:inline>
            <wp:extent cx="4403799" cy="1834916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portes/Reporte_Tarapacá_11-10-2022_files/figure-docx/Gráfico:%20FDC%20Año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99" cy="183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Xc32e42a2a32695996e57e41eb2fcf3d3444bda6"/>
    <w:p>
      <w:pPr>
        <w:pStyle w:val="Heading3"/>
      </w:pPr>
      <w:r>
        <w:t xml:space="preserve">Distribución de FDC asociadas a la Región de Tarapacá por sector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Reportes/Reporte_Tarapacá_11-10-2022_files/figure-docx/Gráfico%20FDC%20por%20categoria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2" w:name="X9793c2f724c5bbc786c0142b4a93a7dbbb6ee66"/>
    <w:p>
      <w:pPr>
        <w:pStyle w:val="Heading3"/>
      </w:pPr>
      <w:r>
        <w:t xml:space="preserve">FDC asociadas a la Región de Tarapacá por origen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Reportes/Reporte_Tarapacá_11-10-2022_files/figure-docx/Gráfico%20FDC%20Origen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6" w:name="X84a98f81e1b5d089c56eb0246ed42172f343eb2"/>
    <w:p>
      <w:pPr>
        <w:pStyle w:val="Heading3"/>
      </w:pPr>
      <w:r>
        <w:t xml:space="preserve">FDC asociadas a la Región de Tarapacá por estado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eportes/Reporte_Tarapacá_11-10-2022_files/figure-docx/Gráfico%20FDC%20Estado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bookmarkEnd w:id="58"/>
    <w:sectPr w:rsidR="00497909">
      <w:headerReference r:id="rId9" w:type="default"/>
      <w:footerReference r:id="rId10" w:type="default"/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426984"/>
      <w:docPartObj>
        <w:docPartGallery w:val="Page Numbers (Bottom of Page)"/>
        <w:docPartUnique/>
      </w:docPartObj>
    </w:sdtPr>
    <w:sdtEndPr/>
    <w:sdtContent>
      <w:p w14:paraId="7E6B1A50" w14:textId="15DD3BEA" w:rsidR="00AD2284" w:rsidRDefault="008C146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B3AD6">
          <w:rPr>
            <w:noProof/>
            <w:lang w:val="es-ES"/>
          </w:rPr>
          <w:t>1</w:t>
        </w:r>
        <w:r>
          <w:fldChar w:fldCharType="end"/>
        </w:r>
      </w:p>
    </w:sdtContent>
  </w:sdt>
  <w:p w14:paraId="6DDD5F61" w14:textId="314377E1" w:rsidR="005D657D" w:rsidRDefault="00C63F1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bCs/>
          <w:b/>
        </w:rPr>
        <w:t xml:space="preserve">UF</w:t>
      </w:r>
      <w:r>
        <w:t xml:space="preserve">: Unidad Fiscalizable /</w:t>
      </w:r>
      <w:r>
        <w:t xml:space="preserve"> </w:t>
      </w:r>
      <w:r>
        <w:rPr>
          <w:bCs/>
          <w:b/>
        </w:rPr>
        <w:t xml:space="preserve">RCA</w:t>
      </w:r>
      <w:r>
        <w:t xml:space="preserve">: Resolución de Calificación Ambiental /</w:t>
      </w:r>
      <w:r>
        <w:t xml:space="preserve"> </w:t>
      </w:r>
      <w:r>
        <w:rPr>
          <w:bCs/>
          <w:b/>
        </w:rPr>
        <w:t xml:space="preserve">IA</w:t>
      </w:r>
      <w:r>
        <w:t xml:space="preserve">: Inspección Ambiental /</w:t>
      </w:r>
      <w:r>
        <w:t xml:space="preserve"> </w:t>
      </w:r>
      <w:r>
        <w:rPr>
          <w:bCs/>
          <w:b/>
        </w:rPr>
        <w:t xml:space="preserve">PPDA</w:t>
      </w:r>
      <w:r>
        <w:t xml:space="preserve">: Plan de Prevensión y Descontaminación Ambiental /</w:t>
      </w:r>
      <w:r>
        <w:t xml:space="preserve"> </w:t>
      </w:r>
      <w:r>
        <w:rPr>
          <w:bCs/>
          <w:b/>
        </w:rPr>
        <w:t xml:space="preserve">RSMA</w:t>
      </w:r>
      <w:r>
        <w:t xml:space="preserve">: Resolución de normas e instrucciones de carácter de la Superintendencia de Medio ambiente /</w:t>
      </w:r>
      <w:r>
        <w:t xml:space="preserve"> </w:t>
      </w:r>
      <w:r>
        <w:rPr>
          <w:bCs/>
          <w:b/>
        </w:rPr>
        <w:t xml:space="preserve">PC/PDC</w:t>
      </w:r>
      <w:r>
        <w:t xml:space="preserve">: Programa de Cumplimiento /</w:t>
      </w:r>
      <w:r>
        <w:t xml:space="preserve"> </w:t>
      </w:r>
      <w:r>
        <w:rPr>
          <w:bCs/>
          <w:b/>
        </w:rPr>
        <w:t xml:space="preserve">NC</w:t>
      </w:r>
      <w:r>
        <w:t xml:space="preserve">: Norma de Contaminación /</w:t>
      </w:r>
      <w:r>
        <w:t xml:space="preserve"> </w:t>
      </w:r>
      <w:r>
        <w:rPr>
          <w:bCs/>
          <w:b/>
        </w:rPr>
        <w:t xml:space="preserve">LEY</w:t>
      </w:r>
      <w:r>
        <w:t xml:space="preserve">: Ley Ambiental /</w:t>
      </w:r>
      <w:r>
        <w:t xml:space="preserve"> </w:t>
      </w:r>
      <w:r>
        <w:rPr>
          <w:bCs/>
          <w:b/>
        </w:rPr>
        <w:t xml:space="preserve">REG</w:t>
      </w:r>
      <w:r>
        <w:t xml:space="preserve">: Reglamento /</w:t>
      </w:r>
      <w:r>
        <w:t xml:space="preserve"> </w:t>
      </w:r>
      <w:r>
        <w:rPr>
          <w:bCs/>
          <w:b/>
        </w:rPr>
        <w:t xml:space="preserve">NE</w:t>
      </w:r>
      <w:r>
        <w:t xml:space="preserve">: Norma de Emisión /</w:t>
      </w:r>
      <w:r>
        <w:t xml:space="preserve"> </w:t>
      </w:r>
      <w:r>
        <w:rPr>
          <w:bCs/>
          <w:b/>
        </w:rPr>
        <w:t xml:space="preserve">MP</w:t>
      </w:r>
      <w:r>
        <w:t xml:space="preserve">: Medida Provisional /</w:t>
      </w:r>
      <w:r>
        <w:t xml:space="preserve"> </w:t>
      </w:r>
      <w:r>
        <w:rPr>
          <w:bCs/>
          <w:b/>
        </w:rPr>
        <w:t xml:space="preserve">FDC</w:t>
      </w:r>
      <w:r>
        <w:t xml:space="preserve">: Formulación de Cargos /</w:t>
      </w:r>
      <w:r>
        <w:t xml:space="preserve"> </w:t>
      </w:r>
      <w:r>
        <w:rPr>
          <w:bCs/>
          <w:b/>
        </w:rPr>
        <w:t xml:space="preserve">MM</w:t>
      </w:r>
      <w:r>
        <w:t xml:space="preserve">: Millones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C8715" w14:textId="77777777" w:rsidR="00E55000" w:rsidRDefault="008C146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29066B5" wp14:editId="48C0E114">
          <wp:simplePos x="0" y="0"/>
          <wp:positionH relativeFrom="column">
            <wp:posOffset>-455295</wp:posOffset>
          </wp:positionH>
          <wp:positionV relativeFrom="paragraph">
            <wp:posOffset>-320040</wp:posOffset>
          </wp:positionV>
          <wp:extent cx="1684020" cy="514086"/>
          <wp:effectExtent l="0" t="0" r="0" b="63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140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0A2CB60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807F7F"/>
    <w:pPr>
      <w:keepNext/>
      <w:keepLines/>
      <w:spacing w:after="120" w:before="480"/>
      <w:outlineLvl w:val="0"/>
    </w:pPr>
    <w:rPr>
      <w:rFonts w:ascii="Calibri" w:cstheme="majorBidi" w:eastAsiaTheme="majorEastAsia" w:hAnsi="Calibri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807F7F"/>
    <w:pPr>
      <w:keepNext/>
      <w:keepLines/>
      <w:spacing w:after="120" w:before="200"/>
      <w:outlineLvl w:val="1"/>
    </w:pPr>
    <w:rPr>
      <w:rFonts w:ascii="Calibri" w:cstheme="majorBidi" w:eastAsiaTheme="majorEastAsia" w:hAnsi="Calibri"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462EFE"/>
    <w:pPr>
      <w:keepNext/>
      <w:keepLines/>
      <w:spacing w:after="120" w:before="200"/>
      <w:outlineLvl w:val="2"/>
    </w:pPr>
    <w:rPr>
      <w:rFonts w:ascii="Calibri" w:cstheme="majorBidi" w:eastAsiaTheme="majorEastAsia" w:hAnsi="Calibri"/>
      <w:bCs/>
      <w:szCs w:val="28"/>
      <w:u w:val="single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3B6CBB"/>
    <w:pPr>
      <w:keepNext/>
      <w:keepLines/>
      <w:pageBreakBefore/>
      <w:spacing w:after="0" w:before="200" w:line="20" w:lineRule="exact"/>
      <w:contextualSpacing/>
      <w:outlineLvl w:val="4"/>
    </w:pPr>
    <w:rPr>
      <w:rFonts w:ascii="Times New Roman" w:cstheme="majorBidi" w:eastAsiaTheme="majorEastAsia" w:hAnsi="Times New Roman"/>
      <w:i/>
      <w:iCs/>
      <w:color w:themeColor="background1" w:val="FFFFFF"/>
      <w:sz w:val="6"/>
    </w:rPr>
  </w:style>
  <w:style w:styleId="Heading6" w:type="paragraph">
    <w:name w:val="heading 6"/>
    <w:basedOn w:val="Normal"/>
    <w:next w:val="BodyText"/>
    <w:uiPriority w:val="9"/>
    <w:unhideWhenUsed/>
    <w:qFormat/>
    <w:rsid w:val="00807F7F"/>
    <w:pPr>
      <w:keepNext/>
      <w:keepLines/>
      <w:spacing w:after="240" w:before="200"/>
      <w:jc w:val="both"/>
      <w:outlineLvl w:val="5"/>
    </w:pPr>
    <w:rPr>
      <w:rFonts w:ascii="Calibri" w:cstheme="majorBidi" w:eastAsiaTheme="majorEastAsia" w:hAnsi="Calibri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next w:val="BodyText2"/>
    <w:link w:val="BodyTextChar"/>
    <w:qFormat/>
    <w:rsid w:val="007F062A"/>
    <w:pPr>
      <w:spacing w:after="180" w:before="180"/>
      <w:jc w:val="both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link w:val="FirstParagraphCar"/>
    <w:qFormat/>
    <w:rsid w:val="00807F7F"/>
    <w:pPr>
      <w:jc w:val="center"/>
    </w:pPr>
    <w:rPr>
      <w:rFonts w:ascii="Calibri" w:hAnsi="Calibri"/>
    </w:rPr>
  </w:style>
  <w:style w:customStyle="1" w:styleId="Compact" w:type="paragraph">
    <w:name w:val="Compact"/>
    <w:basedOn w:val="BodyText"/>
    <w:qFormat/>
    <w:rsid w:val="00431174"/>
    <w:pPr>
      <w:spacing w:after="36" w:before="36"/>
    </w:pPr>
    <w:rPr>
      <w:rFonts w:ascii="Calibri" w:hAnsi="Calibri"/>
      <w:sz w:val="22"/>
    </w:rPr>
  </w:style>
  <w:style w:styleId="Title" w:type="paragraph">
    <w:name w:val="Title"/>
    <w:basedOn w:val="Normal"/>
    <w:next w:val="BodyText"/>
    <w:qFormat/>
    <w:rsid w:val="00807F7F"/>
    <w:pPr>
      <w:keepNext/>
      <w:keepLines/>
      <w:spacing w:after="0" w:before="24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E514D9"/>
    <w:pPr>
      <w:spacing w:before="0"/>
    </w:pPr>
    <w:rPr>
      <w:sz w:val="30"/>
      <w:szCs w:val="30"/>
    </w:rPr>
  </w:style>
  <w:style w:customStyle="1" w:styleId="Author" w:type="paragraph">
    <w:name w:val="Author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styleId="Date" w:type="paragraph">
    <w:name w:val="Date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C74B24"/>
    <w:pPr>
      <w:spacing w:after="80"/>
      <w:jc w:val="both"/>
    </w:pPr>
    <w:rPr>
      <w:rFonts w:asciiTheme="majorHAnsi" w:hAnsiTheme="majorHAnsi"/>
      <w:sz w:val="20"/>
    </w:r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5B3AD6"/>
    <w:pPr>
      <w:jc w:val="center"/>
    </w:pPr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7F062A"/>
    <w:rPr>
      <w:rFonts w:ascii="Times New Roman" w:hAnsi="Times New Roman"/>
    </w:rPr>
  </w:style>
  <w:style w:styleId="ListTable1Light" w:type="table">
    <w:name w:val="List Table 1 Light"/>
    <w:basedOn w:val="TableNormal"/>
    <w:uiPriority w:val="46"/>
    <w:rsid w:val="00A41FC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666666" w:space="0" w:sz="4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TableGrid" w:type="table">
    <w:name w:val="Table Grid"/>
    <w:basedOn w:val="TableNormal"/>
    <w:rsid w:val="00A41FC6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BodyText2" w:type="paragraph">
    <w:name w:val="Body Text 2"/>
    <w:basedOn w:val="Normal"/>
    <w:link w:val="BodyText2Char"/>
    <w:unhideWhenUsed/>
    <w:rsid w:val="00D85CAC"/>
    <w:pPr>
      <w:spacing w:after="120"/>
    </w:pPr>
    <w:rPr>
      <w:b/>
      <w:sz w:val="18"/>
    </w:rPr>
  </w:style>
  <w:style w:customStyle="1" w:styleId="BodyText2Char" w:type="character">
    <w:name w:val="Body Text 2 Char"/>
    <w:basedOn w:val="DefaultParagraphFont"/>
    <w:link w:val="BodyText2"/>
    <w:rsid w:val="00D85CAC"/>
    <w:rPr>
      <w:b/>
      <w:sz w:val="18"/>
    </w:rPr>
  </w:style>
  <w:style w:styleId="Header" w:type="paragraph">
    <w:name w:val="header"/>
    <w:basedOn w:val="Normal"/>
    <w:link w:val="HeaderChar"/>
    <w:unhideWhenUsed/>
    <w:rsid w:val="005D657D"/>
    <w:pPr>
      <w:tabs>
        <w:tab w:pos="4419" w:val="center"/>
        <w:tab w:pos="8838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5D657D"/>
  </w:style>
  <w:style w:styleId="Footer" w:type="paragraph">
    <w:name w:val="footer"/>
    <w:basedOn w:val="Normal"/>
    <w:link w:val="FooterChar"/>
    <w:uiPriority w:val="99"/>
    <w:unhideWhenUsed/>
    <w:rsid w:val="00AD2284"/>
    <w:pPr>
      <w:tabs>
        <w:tab w:pos="4419" w:val="center"/>
        <w:tab w:pos="8838" w:val="right"/>
      </w:tabs>
      <w:spacing w:after="0"/>
    </w:pPr>
    <w:rPr>
      <w:rFonts w:ascii="Times New Roman" w:hAnsi="Times New Roman"/>
      <w:color w:themeColor="text1" w:val="000000"/>
      <w:sz w:val="22"/>
    </w:rPr>
  </w:style>
  <w:style w:customStyle="1" w:styleId="FooterChar" w:type="character">
    <w:name w:val="Footer Char"/>
    <w:basedOn w:val="DefaultParagraphFont"/>
    <w:link w:val="Footer"/>
    <w:uiPriority w:val="99"/>
    <w:rsid w:val="00AD2284"/>
    <w:rPr>
      <w:rFonts w:ascii="Times New Roman" w:hAnsi="Times New Roman"/>
      <w:color w:themeColor="text1" w:val="000000"/>
      <w:sz w:val="22"/>
    </w:rPr>
  </w:style>
  <w:style w:customStyle="1" w:styleId="TextoCuerpo" w:type="paragraph">
    <w:name w:val="TextoCuerpo"/>
    <w:basedOn w:val="FirstParagraph"/>
    <w:link w:val="TextoCuerpoCar"/>
    <w:qFormat/>
    <w:rsid w:val="00830675"/>
  </w:style>
  <w:style w:customStyle="1" w:styleId="FirstParagraphCar" w:type="character">
    <w:name w:val="First Paragraph Car"/>
    <w:basedOn w:val="BodyTextChar"/>
    <w:link w:val="FirstParagraph"/>
    <w:rsid w:val="00807F7F"/>
    <w:rPr>
      <w:rFonts w:ascii="Calibri" w:hAnsi="Calibri"/>
    </w:rPr>
  </w:style>
  <w:style w:customStyle="1" w:styleId="TextoCuerpoCar" w:type="character">
    <w:name w:val="TextoCuerpo Car"/>
    <w:basedOn w:val="FirstParagraphCar"/>
    <w:link w:val="TextoCuerpo"/>
    <w:rsid w:val="00830675"/>
    <w:rPr>
      <w:rFonts w:ascii="Times New Roman" w:hAnsi="Times New Roman"/>
    </w:rPr>
  </w:style>
  <w:style w:customStyle="1" w:styleId="Estilo1" w:type="paragraph">
    <w:name w:val="Estilo1"/>
    <w:basedOn w:val="FirstParagraph"/>
    <w:qFormat/>
    <w:rsid w:val="005A7470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45" Target="media/rId45.png" /><Relationship Type="http://schemas.openxmlformats.org/officeDocument/2006/relationships/image" Id="rId41" Target="media/rId41.png" /><Relationship Type="http://schemas.openxmlformats.org/officeDocument/2006/relationships/image" Id="rId37" Target="media/rId37.png" /><Relationship Type="http://schemas.openxmlformats.org/officeDocument/2006/relationships/image" Id="rId31" Target="media/rId31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Región de la Araucanía</vt:lpstr>
    </vt:vector>
  </TitlesOfParts>
  <Company>Hewlett-Packard Company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Boletín Estadístico\ Indice de pobreza Región de Tarapacá</dc:title>
  <dc:creator>Pablo Aguirre Hörmann</dc:creator>
  <cp:keywords/>
  <dcterms:created xsi:type="dcterms:W3CDTF">2022-10-12T02:45:06Z</dcterms:created>
  <dcterms:modified xsi:type="dcterms:W3CDTF">2022-10-12T02:45:06Z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11/10/2022</vt:lpwstr>
  </property>
  <property fmtid="{D5CDD505-2E9C-101B-9397-08002B2CF9AE}" pid="3" name="output">
    <vt:lpwstr/>
  </property>
  <property fmtid="{D5CDD505-2E9C-101B-9397-08002B2CF9AE}" pid="4" name="params">
    <vt:lpwstr/>
  </property>
</Properties>
</file>