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Guardian Fundraising</w:t>
      </w:r>
    </w:p>
    <w:p>
      <w:pPr>
        <w:jc w:val="center"/>
      </w:pPr>
      <w:r>
        <w:rPr>
          <w:i/>
          <w:sz w:val="20"/>
        </w:rPr>
        <w:t>Meeting Notes &amp; Initial Requirements | Wix Fundraising Platform</w:t>
      </w:r>
    </w:p>
    <w:p/>
    <w:p>
      <w:r>
        <w:t>Purpose: Consolidated version of the original meeting notes and requirements. This document captures the current state, wishlist, and proposed system concept without turning it into a final implementation plan.</w:t>
      </w:r>
    </w:p>
    <w:p>
      <w:pPr>
        <w:pStyle w:val="Heading1"/>
      </w:pPr>
      <w:r>
        <w:t>1. Initial Logistics Questions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Initial finding / recommendation</w:t>
            </w:r>
          </w:p>
        </w:tc>
      </w:tr>
      <w:tr>
        <w:tc>
          <w:tcPr>
            <w:tcW w:type="dxa" w:w="5112"/>
            <w:vAlign w:val="center"/>
          </w:tcPr>
          <w:p>
            <w:r/>
            <w:r>
              <w:rPr>
                <w:b w:val="0"/>
                <w:sz w:val="18"/>
              </w:rPr>
              <w:t>Domain</w:t>
            </w:r>
          </w:p>
        </w:tc>
        <w:tc>
          <w:tcPr>
            <w:tcW w:type="dxa" w:w="5112"/>
            <w:vAlign w:val="center"/>
          </w:tcPr>
          <w:p>
            <w:r/>
            <w:r>
              <w:rPr>
                <w:b w:val="0"/>
                <w:sz w:val="18"/>
              </w:rPr>
              <w:t>guardianfundraising.com</w:t>
            </w:r>
          </w:p>
        </w:tc>
      </w:tr>
      <w:tr>
        <w:tc>
          <w:tcPr>
            <w:tcW w:type="dxa" w:w="5112"/>
            <w:vAlign w:val="center"/>
          </w:tcPr>
          <w:p>
            <w:r/>
            <w:r>
              <w:rPr>
                <w:b w:val="0"/>
                <w:sz w:val="18"/>
              </w:rPr>
              <w:t>Current DNS host</w:t>
            </w:r>
          </w:p>
        </w:tc>
        <w:tc>
          <w:tcPr>
            <w:tcW w:type="dxa" w:w="5112"/>
            <w:vAlign w:val="center"/>
          </w:tcPr>
          <w:p>
            <w:r/>
            <w:r>
              <w:rPr>
                <w:b w:val="0"/>
                <w:sz w:val="18"/>
              </w:rPr>
              <w:t>Authoritative nameservers currently point to the former Google Domains DNS infrastructure: ns-cloud-e1 through ns-cloud-e4.googledomains.com. Confirm the current Squarespace/registrar account owner before changes.</w:t>
            </w:r>
          </w:p>
        </w:tc>
      </w:tr>
      <w:tr>
        <w:tc>
          <w:tcPr>
            <w:tcW w:type="dxa" w:w="5112"/>
            <w:vAlign w:val="center"/>
          </w:tcPr>
          <w:p>
            <w:r/>
            <w:r>
              <w:rPr>
                <w:b w:val="0"/>
                <w:sz w:val="18"/>
              </w:rPr>
              <w:t>Recommended Wix sub-host</w:t>
            </w:r>
          </w:p>
        </w:tc>
        <w:tc>
          <w:tcPr>
            <w:tcW w:type="dxa" w:w="5112"/>
            <w:vAlign w:val="center"/>
          </w:tcPr>
          <w:p>
            <w:r/>
            <w:r>
              <w:rPr>
                <w:b w:val="0"/>
                <w:sz w:val="18"/>
              </w:rPr>
              <w:t>Use the existing Wix site if possible. Preferred URL pattern: guardianfundraising.com/fundraising/{campaign-slug}. If a separate Wix site is required, use fundraisers.guardianfundraising.com.</w:t>
            </w:r>
          </w:p>
        </w:tc>
      </w:tr>
      <w:tr>
        <w:tc>
          <w:tcPr>
            <w:tcW w:type="dxa" w:w="5112"/>
            <w:vAlign w:val="center"/>
          </w:tcPr>
          <w:p>
            <w:r/>
            <w:r>
              <w:rPr>
                <w:b w:val="0"/>
                <w:sz w:val="18"/>
              </w:rPr>
              <w:t>Email</w:t>
            </w:r>
          </w:p>
        </w:tc>
        <w:tc>
          <w:tcPr>
            <w:tcW w:type="dxa" w:w="5112"/>
            <w:vAlign w:val="center"/>
          </w:tcPr>
          <w:p>
            <w:r/>
            <w:r>
              <w:rPr>
                <w:b w:val="0"/>
                <w:sz w:val="18"/>
              </w:rPr>
              <w:t>Current MX records point to Google Workspace/Gmail. Keep email with Google Workspace; do not change MX records when connecting Wix.</w:t>
            </w:r>
          </w:p>
        </w:tc>
      </w:tr>
    </w:tbl>
    <w:p/>
    <w:p>
      <w:pPr>
        <w:pStyle w:val="Heading1"/>
      </w:pPr>
      <w:r>
        <w:t>2. Current Process</w:t>
      </w:r>
    </w:p>
    <w:p>
      <w:pPr>
        <w:pStyle w:val="ListBullet"/>
      </w:pPr>
      <w:r>
        <w:t>Current storefront process: Shopify → collection → distribute a link to the collection.</w:t>
      </w:r>
    </w:p>
    <w:p>
      <w:pPr>
        <w:pStyle w:val="ListBullet"/>
      </w:pPr>
      <w:r>
        <w:t>The current link appears to lead to one specific individual fundraiser rather than a repeatable campaign system.</w:t>
      </w:r>
    </w:p>
    <w:p>
      <w:pPr>
        <w:pStyle w:val="ListBullet"/>
      </w:pPr>
      <w:r>
        <w:t>UX design has been described as abysmal (Karen).</w:t>
      </w:r>
    </w:p>
    <w:p>
      <w:pPr>
        <w:pStyle w:val="ListBullet"/>
      </w:pPr>
      <w:r>
        <w:t>There is currently no dependable way to identify which school or organization generated an order.</w:t>
      </w:r>
    </w:p>
    <w:p>
      <w:pPr>
        <w:pStyle w:val="ListBullet"/>
      </w:pPr>
      <w:r>
        <w:t>There is no tracking automation at this time.</w:t>
      </w:r>
    </w:p>
    <w:p>
      <w:pPr>
        <w:pStyle w:val="ListBullet"/>
      </w:pPr>
      <w:r>
        <w:t>Packing lists are printed and then manually entered into a spreadsheet for Finance.</w:t>
      </w:r>
    </w:p>
    <w:p>
      <w:pPr>
        <w:pStyle w:val="ListBullet"/>
      </w:pPr>
      <w:r>
        <w:t>Inventory management is currently non-existent.</w:t>
      </w:r>
    </w:p>
    <w:p>
      <w:pPr>
        <w:pStyle w:val="ListBullet"/>
      </w:pPr>
      <w:r>
        <w:t>Fulfillment is handled internally.</w:t>
      </w:r>
    </w:p>
    <w:p>
      <w:pPr>
        <w:pStyle w:val="Heading1"/>
      </w:pPr>
      <w:r>
        <w:t>3. Current Wishlist</w:t>
      </w:r>
    </w:p>
    <w:p>
      <w:pPr>
        <w:pStyle w:val="ListBullet"/>
      </w:pPr>
      <w:r>
        <w:t>Use Wix as the fundraising platform, ideally available from the existing Guardian Wix website.</w:t>
      </w:r>
    </w:p>
    <w:p>
      <w:pPr>
        <w:pStyle w:val="ListBullet"/>
      </w:pPr>
      <w:r>
        <w:t>Give each school, team, or organization its own independent fundraiser page or mini-store.</w:t>
      </w:r>
    </w:p>
    <w:p>
      <w:pPr>
        <w:pStyle w:val="ListBullet"/>
      </w:pPr>
      <w:r>
        <w:t>Provide each fundraiser with a unique link.</w:t>
      </w:r>
    </w:p>
    <w:p>
      <w:pPr>
        <w:pStyle w:val="ListBullet"/>
      </w:pPr>
      <w:r>
        <w:t>Ensure sales are credited to the correct fundraiser.</w:t>
      </w:r>
    </w:p>
    <w:p>
      <w:pPr>
        <w:pStyle w:val="ListBullet"/>
      </w:pPr>
      <w:r>
        <w:t>Keep fundraiser pages separate so visitors do not browse other active campaigns.</w:t>
      </w:r>
    </w:p>
    <w:p>
      <w:pPr>
        <w:pStyle w:val="ListBullet"/>
      </w:pPr>
      <w:r>
        <w:t>Consider optional password protection for private campaigns.</w:t>
      </w:r>
    </w:p>
    <w:p>
      <w:pPr>
        <w:pStyle w:val="Heading1"/>
      </w:pPr>
      <w:r>
        <w:t>4. Proposed Wix Fundraising Store Concept</w:t>
      </w:r>
    </w:p>
    <w:p>
      <w:r>
        <w:t>The goal is to create a repeatable fundraising ecommerce system through Wix. Each school, team, or organization would have its own dedicated fundraising page while All Stars manages the system, product catalog, payments, fulfillment, and reporting centrally.</w:t>
      </w:r>
    </w:p>
    <w:p>
      <w:pPr>
        <w:pStyle w:val="Heading1"/>
      </w:pPr>
      <w:r>
        <w:t>5. Core Structure</w:t>
      </w:r>
    </w:p>
    <w:p>
      <w:pPr>
        <w:pStyle w:val="ListBullet"/>
      </w:pPr>
      <w:r>
        <w:t>One page for each school or fundraiser.</w:t>
      </w:r>
    </w:p>
    <w:p>
      <w:pPr>
        <w:pStyle w:val="ListBullet"/>
      </w:pPr>
      <w:r>
        <w:t>Each page has a unique link.</w:t>
      </w:r>
    </w:p>
    <w:p>
      <w:pPr>
        <w:pStyle w:val="ListBullet"/>
      </w:pPr>
      <w:r>
        <w:t>Sales are credited to the correct fundraiser.</w:t>
      </w:r>
    </w:p>
    <w:p>
      <w:pPr>
        <w:pStyle w:val="ListBullet"/>
      </w:pPr>
      <w:r>
        <w:t>Fundraiser pages do not display or link to other active fundraisers.</w:t>
      </w:r>
    </w:p>
    <w:p>
      <w:pPr>
        <w:pStyle w:val="ListBullet"/>
      </w:pPr>
      <w:r>
        <w:t>The overall experience should be modern, polished, mobile-friendly, and substantially better than the current collection-based UX.</w:t>
      </w:r>
    </w:p>
    <w:p>
      <w:pPr>
        <w:pStyle w:val="Heading1"/>
      </w:pPr>
      <w:r>
        <w:t>6. Products</w:t>
      </w:r>
    </w:p>
    <w:p>
      <w:pPr>
        <w:pStyle w:val="ListBullet"/>
      </w:pPr>
      <w:r>
        <w:t>All Stars owns and manages the central product catalog.</w:t>
      </w:r>
    </w:p>
    <w:p>
      <w:pPr>
        <w:pStyle w:val="ListBullet"/>
      </w:pPr>
      <w:r>
        <w:t>Products can be assigned to individual fundraising pages.</w:t>
      </w:r>
    </w:p>
    <w:p>
      <w:pPr>
        <w:pStyle w:val="ListBullet"/>
      </w:pPr>
      <w:r>
        <w:t>Products must be easy to add, remove, sort, and organize.</w:t>
      </w:r>
    </w:p>
    <w:p>
      <w:pPr>
        <w:pStyle w:val="ListBullet"/>
      </w:pPr>
      <w:r>
        <w:t>Products support photos, descriptions, pricing, variants, SKUs, and inventory information.</w:t>
      </w:r>
    </w:p>
    <w:p>
      <w:pPr>
        <w:pStyle w:val="ListBullet"/>
      </w:pPr>
      <w:r>
        <w:t>Different fundraisers may use the same products or selected product collections.</w:t>
      </w:r>
    </w:p>
    <w:p>
      <w:pPr>
        <w:pStyle w:val="Heading1"/>
      </w:pPr>
      <w:r>
        <w:t>7. Cart and Payment Processing</w:t>
      </w:r>
    </w:p>
    <w:p>
      <w:pPr>
        <w:pStyle w:val="ListBullet"/>
      </w:pPr>
      <w:r>
        <w:t>Shopping cart</w:t>
      </w:r>
    </w:p>
    <w:p>
      <w:pPr>
        <w:pStyle w:val="ListBullet"/>
      </w:pPr>
      <w:r>
        <w:t>Secure online payment processing</w:t>
      </w:r>
    </w:p>
    <w:p>
      <w:pPr>
        <w:pStyle w:val="ListBullet"/>
      </w:pPr>
      <w:r>
        <w:t>Credit and debit card payments</w:t>
      </w:r>
    </w:p>
    <w:p>
      <w:pPr>
        <w:pStyle w:val="ListBullet"/>
      </w:pPr>
      <w:r>
        <w:t>Mobile-friendly checkout</w:t>
      </w:r>
    </w:p>
    <w:p>
      <w:pPr>
        <w:pStyle w:val="ListBullet"/>
      </w:pPr>
      <w:r>
        <w:t>Customer order confirmations</w:t>
      </w:r>
    </w:p>
    <w:p>
      <w:pPr>
        <w:pStyle w:val="ListBullet"/>
      </w:pPr>
      <w:r>
        <w:t>Payment status tracking</w:t>
      </w:r>
    </w:p>
    <w:p>
      <w:pPr>
        <w:pStyle w:val="ListBullet"/>
      </w:pPr>
      <w:r>
        <w:t>Refund and cancellation management</w:t>
      </w:r>
    </w:p>
    <w:p>
      <w:pPr>
        <w:pStyle w:val="Heading1"/>
      </w:pPr>
      <w:r>
        <w:t>8. Privacy and Fundraiser Separation</w:t>
      </w:r>
    </w:p>
    <w:p>
      <w:r>
        <w:t>A visitor on one school’s page should not be able to browse other fundraiser pages, search for active campaigns, navigate between campaigns, or accidentally place an order under the wrong fundraiser.</w:t>
      </w:r>
    </w:p>
    <w:p>
      <w:pPr>
        <w:pStyle w:val="ListBullet"/>
      </w:pPr>
      <w:r>
        <w:t>Hide fundraiser pages from the main navigation.</w:t>
      </w:r>
    </w:p>
    <w:p>
      <w:pPr>
        <w:pStyle w:val="ListBullet"/>
      </w:pPr>
      <w:r>
        <w:t>Disable search-engine indexing.</w:t>
      </w:r>
    </w:p>
    <w:p>
      <w:pPr>
        <w:pStyle w:val="ListBullet"/>
      </w:pPr>
      <w:r>
        <w:t>Use direct-link-only access.</w:t>
      </w:r>
    </w:p>
    <w:p>
      <w:pPr>
        <w:pStyle w:val="ListBullet"/>
      </w:pPr>
      <w:r>
        <w:t>Add optional password protection for private campaigns.</w:t>
      </w:r>
    </w:p>
    <w:p>
      <w:pPr>
        <w:pStyle w:val="Heading1"/>
      </w:pPr>
      <w:r>
        <w:t>9. Required Sales Tracking</w:t>
      </w:r>
    </w:p>
    <w:p>
      <w:r>
        <w:t>Every order should be tied to the correct fundraiser and include:</w:t>
      </w:r>
    </w:p>
    <w:p>
      <w:pPr>
        <w:pStyle w:val="ListBullet"/>
      </w:pPr>
      <w:r>
        <w:t>Fundraiser name</w:t>
      </w:r>
    </w:p>
    <w:p>
      <w:pPr>
        <w:pStyle w:val="ListBullet"/>
      </w:pPr>
      <w:r>
        <w:t>School or organization name</w:t>
      </w:r>
    </w:p>
    <w:p>
      <w:pPr>
        <w:pStyle w:val="ListBullet"/>
      </w:pPr>
      <w:r>
        <w:t>Campaign ID</w:t>
      </w:r>
    </w:p>
    <w:p>
      <w:pPr>
        <w:pStyle w:val="ListBullet"/>
      </w:pPr>
      <w:r>
        <w:t>Customer information</w:t>
      </w:r>
    </w:p>
    <w:p>
      <w:pPr>
        <w:pStyle w:val="ListBullet"/>
      </w:pPr>
      <w:r>
        <w:t>Products and variants</w:t>
      </w:r>
    </w:p>
    <w:p>
      <w:pPr>
        <w:pStyle w:val="ListBullet"/>
      </w:pPr>
      <w:r>
        <w:t>Quantities</w:t>
      </w:r>
    </w:p>
    <w:p>
      <w:pPr>
        <w:pStyle w:val="ListBullet"/>
      </w:pPr>
      <w:r>
        <w:t>Order total</w:t>
      </w:r>
    </w:p>
    <w:p>
      <w:pPr>
        <w:pStyle w:val="ListBullet"/>
      </w:pPr>
      <w:r>
        <w:t>Payment status</w:t>
      </w:r>
    </w:p>
    <w:p>
      <w:pPr>
        <w:pStyle w:val="ListBullet"/>
      </w:pPr>
      <w:r>
        <w:t>Shipping method</w:t>
      </w:r>
    </w:p>
    <w:p>
      <w:pPr>
        <w:pStyle w:val="ListBullet"/>
      </w:pPr>
      <w:r>
        <w:t>Fulfillment status</w:t>
      </w:r>
    </w:p>
    <w:p>
      <w:pPr>
        <w:pStyle w:val="ListBullet"/>
      </w:pPr>
      <w:r>
        <w:t>Order date</w:t>
      </w:r>
    </w:p>
    <w:p>
      <w:pPr>
        <w:pStyle w:val="Heading1"/>
      </w:pPr>
      <w:r>
        <w:t>10. Fulfillment Model</w:t>
      </w:r>
    </w:p>
    <w:p>
      <w:r>
        <w:t>A supporter visits the campaign page, selects products, places an order, and pays through Wix. All Stars receives the order, credits the correct fundraiser, prepares or coordinates fulfillment, and pays the fundraiser its agreed share.</w:t>
      </w:r>
    </w:p>
    <w:p>
      <w:pPr>
        <w:pStyle w:val="Heading1"/>
      </w:pPr>
      <w:r>
        <w:t>11. Shipping Options</w:t>
      </w:r>
    </w:p>
    <w:p>
      <w:pPr>
        <w:pStyle w:val="Heading2"/>
      </w:pPr>
      <w:r>
        <w:t>Direct shipping</w:t>
      </w:r>
    </w:p>
    <w:p>
      <w:pPr>
        <w:pStyle w:val="ListBullet"/>
      </w:pPr>
      <w:r>
        <w:t>Customer enters their shipping address.</w:t>
      </w:r>
    </w:p>
    <w:p>
      <w:pPr>
        <w:pStyle w:val="ListBullet"/>
      </w:pPr>
      <w:r>
        <w:t>Order ships directly to the supporter.</w:t>
      </w:r>
    </w:p>
    <w:p>
      <w:pPr>
        <w:pStyle w:val="ListBullet"/>
      </w:pPr>
      <w:r>
        <w:t>Shipping charges are calculated at checkout.</w:t>
      </w:r>
    </w:p>
    <w:p>
      <w:pPr>
        <w:pStyle w:val="Heading2"/>
      </w:pPr>
      <w:r>
        <w:t>Bulk shipping</w:t>
      </w:r>
    </w:p>
    <w:p>
      <w:pPr>
        <w:pStyle w:val="ListBullet"/>
      </w:pPr>
      <w:r>
        <w:t>Orders are grouped by fundraiser.</w:t>
      </w:r>
    </w:p>
    <w:p>
      <w:pPr>
        <w:pStyle w:val="ListBullet"/>
      </w:pPr>
      <w:r>
        <w:t>Products ship to the school, team, or fundraiser coordinator.</w:t>
      </w:r>
    </w:p>
    <w:p>
      <w:pPr>
        <w:pStyle w:val="ListBullet"/>
      </w:pPr>
      <w:r>
        <w:t>The organization distributes products locally.</w:t>
      </w:r>
    </w:p>
    <w:p>
      <w:pPr>
        <w:pStyle w:val="ListBullet"/>
      </w:pPr>
      <w:r>
        <w:t>Orders must be easy to sort and group by campaign.</w:t>
      </w:r>
    </w:p>
    <w:p>
      <w:pPr>
        <w:pStyle w:val="Heading1"/>
      </w:pPr>
      <w:r>
        <w:t>12. Order Management Requirements</w:t>
      </w:r>
    </w:p>
    <w:p>
      <w:pPr>
        <w:pStyle w:val="ListBullet"/>
      </w:pPr>
      <w:r>
        <w:t>Filter orders by fundraiser</w:t>
      </w:r>
    </w:p>
    <w:p>
      <w:pPr>
        <w:pStyle w:val="ListBullet"/>
      </w:pPr>
      <w:r>
        <w:t>Sort by school</w:t>
      </w:r>
    </w:p>
    <w:p>
      <w:pPr>
        <w:pStyle w:val="ListBullet"/>
      </w:pPr>
      <w:r>
        <w:t>Sort by product and variant</w:t>
      </w:r>
    </w:p>
    <w:p>
      <w:pPr>
        <w:pStyle w:val="ListBullet"/>
      </w:pPr>
      <w:r>
        <w:t>Group bulk-shipping orders</w:t>
      </w:r>
    </w:p>
    <w:p>
      <w:pPr>
        <w:pStyle w:val="ListBullet"/>
      </w:pPr>
      <w:r>
        <w:t>Separate direct-shipping orders</w:t>
      </w:r>
    </w:p>
    <w:p>
      <w:pPr>
        <w:pStyle w:val="ListBullet"/>
      </w:pPr>
      <w:r>
        <w:t>Track payment and fulfillment status</w:t>
      </w:r>
    </w:p>
    <w:p>
      <w:pPr>
        <w:pStyle w:val="ListBullet"/>
      </w:pPr>
      <w:r>
        <w:t>Update shipping information</w:t>
      </w:r>
    </w:p>
    <w:p>
      <w:pPr>
        <w:pStyle w:val="ListBullet"/>
      </w:pPr>
      <w:r>
        <w:t>Mark orders complete</w:t>
      </w:r>
    </w:p>
    <w:p>
      <w:pPr>
        <w:pStyle w:val="ListBullet"/>
      </w:pPr>
      <w:r>
        <w:t>Search by customer or order number</w:t>
      </w:r>
    </w:p>
    <w:p>
      <w:pPr>
        <w:pStyle w:val="Heading1"/>
      </w:pPr>
      <w:r>
        <w:t>13. Exporting Data</w:t>
      </w:r>
    </w:p>
    <w:p>
      <w:r>
        <w:t>Order and fundraiser data should be exportable to CSV or Excel for:</w:t>
      </w:r>
    </w:p>
    <w:p>
      <w:pPr>
        <w:pStyle w:val="ListBullet"/>
      </w:pPr>
      <w:r>
        <w:t>Product fulfillment</w:t>
      </w:r>
    </w:p>
    <w:p>
      <w:pPr>
        <w:pStyle w:val="ListBullet"/>
      </w:pPr>
      <w:r>
        <w:t>Bulk order preparation</w:t>
      </w:r>
    </w:p>
    <w:p>
      <w:pPr>
        <w:pStyle w:val="ListBullet"/>
      </w:pPr>
      <w:r>
        <w:t>Shipping labels</w:t>
      </w:r>
    </w:p>
    <w:p>
      <w:pPr>
        <w:pStyle w:val="ListBullet"/>
      </w:pPr>
      <w:r>
        <w:t>Accounting</w:t>
      </w:r>
    </w:p>
    <w:p>
      <w:pPr>
        <w:pStyle w:val="ListBullet"/>
      </w:pPr>
      <w:r>
        <w:t>Fundraiser reporting</w:t>
      </w:r>
    </w:p>
    <w:p>
      <w:pPr>
        <w:pStyle w:val="ListBullet"/>
      </w:pPr>
      <w:r>
        <w:t>School payout calculations</w:t>
      </w:r>
    </w:p>
    <w:p>
      <w:pPr>
        <w:pStyle w:val="Heading1"/>
      </w:pPr>
      <w:r>
        <w:t>14. Recommended Wix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Component</w:t>
            </w:r>
          </w:p>
        </w:tc>
        <w:tc>
          <w:tcPr>
            <w:tcW w:type="dxa" w:w="5112"/>
            <w:vAlign w:val="center"/>
            <w:shd w:fill="D9EAF7"/>
          </w:tcPr>
          <w:p>
            <w:r/>
            <w:r>
              <w:rPr>
                <w:b/>
                <w:sz w:val="18"/>
              </w:rPr>
              <w:t>Purpose</w:t>
            </w:r>
          </w:p>
        </w:tc>
      </w:tr>
      <w:tr>
        <w:tc>
          <w:tcPr>
            <w:tcW w:type="dxa" w:w="5112"/>
            <w:vAlign w:val="center"/>
          </w:tcPr>
          <w:p>
            <w:r/>
            <w:r>
              <w:rPr>
                <w:b w:val="0"/>
                <w:sz w:val="18"/>
              </w:rPr>
              <w:t>Wix Studio</w:t>
            </w:r>
          </w:p>
        </w:tc>
        <w:tc>
          <w:tcPr>
            <w:tcW w:type="dxa" w:w="5112"/>
            <w:vAlign w:val="center"/>
          </w:tcPr>
          <w:p>
            <w:r/>
            <w:r>
              <w:rPr>
                <w:b w:val="0"/>
                <w:sz w:val="18"/>
              </w:rPr>
              <w:t>Main website and page design</w:t>
            </w:r>
          </w:p>
        </w:tc>
      </w:tr>
      <w:tr>
        <w:tc>
          <w:tcPr>
            <w:tcW w:type="dxa" w:w="5112"/>
            <w:vAlign w:val="center"/>
          </w:tcPr>
          <w:p>
            <w:r/>
            <w:r>
              <w:rPr>
                <w:b w:val="0"/>
                <w:sz w:val="18"/>
              </w:rPr>
              <w:t>Wix Stores</w:t>
            </w:r>
          </w:p>
        </w:tc>
        <w:tc>
          <w:tcPr>
            <w:tcW w:type="dxa" w:w="5112"/>
            <w:vAlign w:val="center"/>
          </w:tcPr>
          <w:p>
            <w:r/>
            <w:r>
              <w:rPr>
                <w:b w:val="0"/>
                <w:sz w:val="18"/>
              </w:rPr>
              <w:t>Products, carts, checkout, and payments</w:t>
            </w:r>
          </w:p>
        </w:tc>
      </w:tr>
      <w:tr>
        <w:tc>
          <w:tcPr>
            <w:tcW w:type="dxa" w:w="5112"/>
            <w:vAlign w:val="center"/>
          </w:tcPr>
          <w:p>
            <w:r/>
            <w:r>
              <w:rPr>
                <w:b w:val="0"/>
                <w:sz w:val="18"/>
              </w:rPr>
              <w:t>Wix CMS</w:t>
            </w:r>
          </w:p>
        </w:tc>
        <w:tc>
          <w:tcPr>
            <w:tcW w:type="dxa" w:w="5112"/>
            <w:vAlign w:val="center"/>
          </w:tcPr>
          <w:p>
            <w:r/>
            <w:r>
              <w:rPr>
                <w:b w:val="0"/>
                <w:sz w:val="18"/>
              </w:rPr>
              <w:t>Fundraiser and school information</w:t>
            </w:r>
          </w:p>
        </w:tc>
      </w:tr>
      <w:tr>
        <w:tc>
          <w:tcPr>
            <w:tcW w:type="dxa" w:w="5112"/>
            <w:vAlign w:val="center"/>
          </w:tcPr>
          <w:p>
            <w:r/>
            <w:r>
              <w:rPr>
                <w:b w:val="0"/>
                <w:sz w:val="18"/>
              </w:rPr>
              <w:t>Dynamic pages</w:t>
            </w:r>
          </w:p>
        </w:tc>
        <w:tc>
          <w:tcPr>
            <w:tcW w:type="dxa" w:w="5112"/>
            <w:vAlign w:val="center"/>
          </w:tcPr>
          <w:p>
            <w:r/>
            <w:r>
              <w:rPr>
                <w:b w:val="0"/>
                <w:sz w:val="18"/>
              </w:rPr>
              <w:t>Repeatable fundraiser storefronts</w:t>
            </w:r>
          </w:p>
        </w:tc>
      </w:tr>
      <w:tr>
        <w:tc>
          <w:tcPr>
            <w:tcW w:type="dxa" w:w="5112"/>
            <w:vAlign w:val="center"/>
          </w:tcPr>
          <w:p>
            <w:r/>
            <w:r>
              <w:rPr>
                <w:b w:val="0"/>
                <w:sz w:val="18"/>
              </w:rPr>
              <w:t>Unique fundraiser IDs</w:t>
            </w:r>
          </w:p>
        </w:tc>
        <w:tc>
          <w:tcPr>
            <w:tcW w:type="dxa" w:w="5112"/>
            <w:vAlign w:val="center"/>
          </w:tcPr>
          <w:p>
            <w:r/>
            <w:r>
              <w:rPr>
                <w:b w:val="0"/>
                <w:sz w:val="18"/>
              </w:rPr>
              <w:t>Order attribution and reporting</w:t>
            </w:r>
          </w:p>
        </w:tc>
      </w:tr>
      <w:tr>
        <w:tc>
          <w:tcPr>
            <w:tcW w:type="dxa" w:w="5112"/>
            <w:vAlign w:val="center"/>
          </w:tcPr>
          <w:p>
            <w:r/>
            <w:r>
              <w:rPr>
                <w:b w:val="0"/>
                <w:sz w:val="18"/>
              </w:rPr>
              <w:t>Wix Automations</w:t>
            </w:r>
          </w:p>
        </w:tc>
        <w:tc>
          <w:tcPr>
            <w:tcW w:type="dxa" w:w="5112"/>
            <w:vAlign w:val="center"/>
          </w:tcPr>
          <w:p>
            <w:r/>
            <w:r>
              <w:rPr>
                <w:b w:val="0"/>
                <w:sz w:val="18"/>
              </w:rPr>
              <w:t>Confirmations and internal notifications</w:t>
            </w:r>
          </w:p>
        </w:tc>
      </w:tr>
      <w:tr>
        <w:tc>
          <w:tcPr>
            <w:tcW w:type="dxa" w:w="5112"/>
            <w:vAlign w:val="center"/>
          </w:tcPr>
          <w:p>
            <w:r/>
            <w:r>
              <w:rPr>
                <w:b w:val="0"/>
                <w:sz w:val="18"/>
              </w:rPr>
              <w:t>CSV exports</w:t>
            </w:r>
          </w:p>
        </w:tc>
        <w:tc>
          <w:tcPr>
            <w:tcW w:type="dxa" w:w="5112"/>
            <w:vAlign w:val="center"/>
          </w:tcPr>
          <w:p>
            <w:r/>
            <w:r>
              <w:rPr>
                <w:b w:val="0"/>
                <w:sz w:val="18"/>
              </w:rPr>
              <w:t>Fulfillment, Finance, and payout reports</w:t>
            </w:r>
          </w:p>
        </w:tc>
      </w:tr>
      <w:tr>
        <w:tc>
          <w:tcPr>
            <w:tcW w:type="dxa" w:w="5112"/>
            <w:vAlign w:val="center"/>
          </w:tcPr>
          <w:p>
            <w:r/>
            <w:r>
              <w:rPr>
                <w:b w:val="0"/>
                <w:sz w:val="18"/>
              </w:rPr>
              <w:t>Velo by Wix</w:t>
            </w:r>
          </w:p>
        </w:tc>
        <w:tc>
          <w:tcPr>
            <w:tcW w:type="dxa" w:w="5112"/>
            <w:vAlign w:val="center"/>
          </w:tcPr>
          <w:p>
            <w:r/>
            <w:r>
              <w:rPr>
                <w:b w:val="0"/>
                <w:sz w:val="18"/>
              </w:rPr>
              <w:t>Advanced attribution, sorting, validation, and custom reporting</w:t>
            </w:r>
          </w:p>
        </w:tc>
      </w:tr>
    </w:tbl>
    <w:p/>
    <w:p>
      <w:pPr>
        <w:pStyle w:val="Heading1"/>
      </w:pPr>
      <w:r>
        <w:t>15. Main Goal</w:t>
      </w:r>
    </w:p>
    <w:p>
      <w:r>
        <w:t>Create a repeatable system that allows All Stars to launch a new school fundraiser quickly without building a separate website every time. Each fundraiser should feel like its own private store while remaining centrally managed through Wix.</w:t>
      </w:r>
    </w:p>
    <w:p>
      <w:pPr>
        <w:pStyle w:val="Heading1"/>
      </w:pPr>
      <w:r>
        <w:t>Initial Architecture Note</w:t>
      </w:r>
    </w:p>
    <w:p>
      <w:r>
        <w:t>Wix is a reasonable fit, but dynamic pages alone do not guarantee that the fundraiser identity will be preserved in the final order. Campaign attribution, one-campaign-per-cart behavior, shipping mode, and Finance reporting should be proven in a pilot before broad rollout.</w:t>
      </w:r>
    </w:p>
    <w:p>
      <w:r>
        <w:br w:type="page"/>
      </w:r>
    </w:p>
    <w:p>
      <w:pPr>
        <w:pStyle w:val="Heading1"/>
      </w:pPr>
      <w:r>
        <w:t>Addendum: Current Catalog, Pricing, and Operating Rules</w:t>
      </w:r>
    </w:p>
    <w:p>
      <w:r>
        <w:t>This addendum incorporates the latest operational information supplied after the original notes were compiled.</w:t>
      </w:r>
    </w:p>
    <w:p>
      <w:pPr>
        <w:pStyle w:val="Heading2"/>
      </w:pPr>
      <w:r>
        <w:t>Current Product Catalog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Category</w:t>
            </w:r>
          </w:p>
        </w:tc>
        <w:tc>
          <w:tcPr>
            <w:tcW w:type="dxa" w:w="3408"/>
            <w:vAlign w:val="center"/>
            <w:shd w:fill="D9EAF7"/>
          </w:tcPr>
          <w:p>
            <w:r>
              <w:rPr>
                <w:b/>
              </w:rPr>
              <w:t>Products / variants</w:t>
            </w:r>
          </w:p>
        </w:tc>
        <w:tc>
          <w:tcPr>
            <w:tcW w:type="dxa" w:w="3408"/>
            <w:vAlign w:val="center"/>
            <w:shd w:fill="D9EAF7"/>
          </w:tcPr>
          <w:p>
            <w:r>
              <w:rPr>
                <w:b/>
              </w:rPr>
              <w:t>Pricing or packaging</w:t>
            </w:r>
          </w:p>
        </w:tc>
      </w:tr>
      <w:tr>
        <w:tc>
          <w:tcPr>
            <w:tcW w:type="dxa" w:w="3408"/>
          </w:tcPr>
          <w:p>
            <w:r>
              <w:t>Outside-vendor products</w:t>
            </w:r>
          </w:p>
        </w:tc>
        <w:tc>
          <w:tcPr>
            <w:tcW w:type="dxa" w:w="3408"/>
          </w:tcPr>
          <w:p>
            <w:r>
              <w:t>Popcorn; Cookie dough; Boost My Group</w:t>
            </w:r>
          </w:p>
        </w:tc>
        <w:tc>
          <w:tcPr>
            <w:tcW w:type="dxa" w:w="3408"/>
          </w:tcPr>
          <w:p>
            <w:r>
              <w:t>Fulfilled through outside vendor; pricing and vendor handoff still need confirmation.</w:t>
            </w:r>
          </w:p>
        </w:tc>
      </w:tr>
      <w:tr>
        <w:tc>
          <w:tcPr>
            <w:tcW w:type="dxa" w:w="3408"/>
          </w:tcPr>
          <w:p>
            <w:r>
              <w:t>Spices</w:t>
            </w:r>
          </w:p>
        </w:tc>
        <w:tc>
          <w:tcPr>
            <w:tcW w:type="dxa" w:w="3408"/>
          </w:tcPr>
          <w:p>
            <w:r>
              <w:t>All Purpose Seasoning; Brisket Rub; Burger and Steak Seasoning; Cajun Seasoning; Garlic Butter Seasoning; Rib and Pork Rub; Taco Seasoning</w:t>
            </w:r>
          </w:p>
        </w:tc>
        <w:tc>
          <w:tcPr>
            <w:tcW w:type="dxa" w:w="3408"/>
          </w:tcPr>
          <w:p>
            <w:r>
              <w:t>8 oz products: $13; 16 oz products: $23.</w:t>
            </w:r>
          </w:p>
        </w:tc>
      </w:tr>
      <w:tr>
        <w:tc>
          <w:tcPr>
            <w:tcW w:type="dxa" w:w="3408"/>
          </w:tcPr>
          <w:p>
            <w:r>
              <w:t>Tumblers / water bottles</w:t>
            </w:r>
          </w:p>
        </w:tc>
        <w:tc>
          <w:tcPr>
            <w:tcW w:type="dxa" w:w="3408"/>
          </w:tcPr>
          <w:p>
            <w:r>
              <w:t>Black Tumblers; Black Water Bottles; other colors: Blue, Gray, Kelly Green, Navy Blue, Orange, Red, Royal Blue, White</w:t>
            </w:r>
          </w:p>
        </w:tc>
        <w:tc>
          <w:tcPr>
            <w:tcW w:type="dxa" w:w="3408"/>
          </w:tcPr>
          <w:p>
            <w:r>
              <w:t>Black: $30; other colors: $35. Sold individually.</w:t>
            </w:r>
          </w:p>
        </w:tc>
      </w:tr>
      <w:tr>
        <w:tc>
          <w:tcPr>
            <w:tcW w:type="dxa" w:w="3408"/>
          </w:tcPr>
          <w:p>
            <w:r>
              <w:t>Candles</w:t>
            </w:r>
          </w:p>
        </w:tc>
        <w:tc>
          <w:tcPr>
            <w:tcW w:type="dxa" w:w="3408"/>
          </w:tcPr>
          <w:p>
            <w:r>
              <w:t>Linen Cloud; Peppermint Chill; Citrus Bloom; Vanilla Eclipse; Island Coconut; Jasmine Reverie; Tropical Rain; Rustic Cedar; Coastal Drift</w:t>
            </w:r>
          </w:p>
        </w:tc>
        <w:tc>
          <w:tcPr>
            <w:tcW w:type="dxa" w:w="3408"/>
          </w:tcPr>
          <w:p>
            <w:r>
              <w:t xml:space="preserve"> $20 each; manufacturer case contains 18.</w:t>
            </w:r>
          </w:p>
        </w:tc>
      </w:tr>
      <w:tr>
        <w:tc>
          <w:tcPr>
            <w:tcW w:type="dxa" w:w="3408"/>
          </w:tcPr>
          <w:p>
            <w:r>
              <w:t>Coffee</w:t>
            </w:r>
          </w:p>
        </w:tc>
        <w:tc>
          <w:tcPr>
            <w:tcW w:type="dxa" w:w="3408"/>
          </w:tcPr>
          <w:p>
            <w:r>
              <w:t>House Blend, Island Bliss, Midnight Bold, Costa Rican Radiance, Sunset Serenity Decaf; whole bean and ground variants</w:t>
            </w:r>
          </w:p>
        </w:tc>
        <w:tc>
          <w:tcPr>
            <w:tcW w:type="dxa" w:w="3408"/>
          </w:tcPr>
          <w:p>
            <w:r>
              <w:t>12 oz products; prices not yet supplied.</w:t>
            </w:r>
          </w:p>
        </w:tc>
      </w:tr>
      <w:tr>
        <w:tc>
          <w:tcPr>
            <w:tcW w:type="dxa" w:w="3408"/>
          </w:tcPr>
          <w:p>
            <w:r>
              <w:t>Apparel</w:t>
            </w:r>
          </w:p>
        </w:tc>
        <w:tc>
          <w:tcPr>
            <w:tcW w:type="dxa" w:w="3408"/>
          </w:tcPr>
          <w:p>
            <w:r>
              <w:t>T-shirts; long-sleeve T-shirts; crewneck sweatshirts; hoodies; bucket hats; baseball caps</w:t>
            </w:r>
          </w:p>
        </w:tc>
        <w:tc>
          <w:tcPr>
            <w:tcW w:type="dxa" w:w="3408"/>
          </w:tcPr>
          <w:p>
            <w:r>
              <w:t>Product line and pricing not yet finalized.</w:t>
            </w:r>
          </w:p>
        </w:tc>
      </w:tr>
    </w:tbl>
    <w:p/>
    <w:p>
      <w:pPr>
        <w:pStyle w:val="Heading2"/>
      </w:pPr>
      <w:r>
        <w:t>Customization Requirement</w:t>
      </w:r>
    </w:p>
    <w:p>
      <w:r>
        <w:t>Tumbler and water-bottle images change based on the engraving or artwork for each fundraiser. The system must allow authorized staff to upload or edit campaign-specific product imagery. A central product image alone will not be sufficient.</w:t>
      </w:r>
    </w:p>
    <w:p>
      <w:pPr>
        <w:pStyle w:val="Heading2"/>
      </w:pPr>
      <w:r>
        <w:t>Shipping and Fulfillment Rules</w:t>
      </w:r>
    </w:p>
    <w:p>
      <w:pPr>
        <w:pStyle w:val="ListBullet"/>
      </w:pPr>
      <w:r>
        <w:t>Each fundraiser may offer direct shipping, bulk shipping, or both.</w:t>
      </w:r>
    </w:p>
    <w:p>
      <w:pPr>
        <w:pStyle w:val="ListBullet"/>
      </w:pPr>
      <w:r>
        <w:t>Bulk shipping is free when the shipment contains 50 or more items.</w:t>
      </w:r>
    </w:p>
    <w:p>
      <w:pPr>
        <w:pStyle w:val="ListBullet"/>
      </w:pPr>
      <w:r>
        <w:t>Under 50 items, shipping cost is allocated across student sellers based on units sold.</w:t>
      </w:r>
    </w:p>
    <w:p>
      <w:pPr>
        <w:pStyle w:val="ListBullet"/>
      </w:pPr>
      <w:r>
        <w:t>Products are sold individually.</w:t>
      </w:r>
    </w:p>
    <w:p>
      <w:pPr>
        <w:pStyle w:val="ListBullet"/>
      </w:pPr>
      <w:r>
        <w:t>Spices and coffee are produced at the warehouse.</w:t>
      </w:r>
    </w:p>
    <w:p>
      <w:pPr>
        <w:pStyle w:val="ListBullet"/>
      </w:pPr>
      <w:r>
        <w:t>All Stars may fulfill internally, while popcorn, cookie dough, and Boost My Group may use outside-vendor fulfillment.</w:t>
      </w:r>
    </w:p>
    <w:p>
      <w:pPr>
        <w:pStyle w:val="Heading2"/>
      </w:pPr>
      <w:r>
        <w:t>Fundraiser Setup Information Required</w:t>
      </w:r>
    </w:p>
    <w:p>
      <w:pPr>
        <w:pStyle w:val="ListBullet"/>
      </w:pPr>
      <w:r>
        <w:t>Tax-exempt form from the school</w:t>
      </w:r>
    </w:p>
    <w:p>
      <w:pPr>
        <w:pStyle w:val="ListBullet"/>
      </w:pPr>
      <w:r>
        <w:t>Director name, email, and phone</w:t>
      </w:r>
    </w:p>
    <w:p>
      <w:pPr>
        <w:pStyle w:val="ListBullet"/>
      </w:pPr>
      <w:r>
        <w:t>Group name and school name</w:t>
      </w:r>
    </w:p>
    <w:p>
      <w:pPr>
        <w:pStyle w:val="ListBullet"/>
      </w:pPr>
      <w:r>
        <w:t>School delivery address</w:t>
      </w:r>
    </w:p>
    <w:p>
      <w:pPr>
        <w:pStyle w:val="ListBullet"/>
      </w:pPr>
      <w:r>
        <w:t>Fundraising purpose</w:t>
      </w:r>
    </w:p>
    <w:p>
      <w:pPr>
        <w:pStyle w:val="ListBullet"/>
      </w:pPr>
      <w:r>
        <w:t>Fundraiser dates</w:t>
      </w:r>
    </w:p>
    <w:p>
      <w:pPr>
        <w:pStyle w:val="ListBullet"/>
      </w:pPr>
      <w:r>
        <w:t>Payment preference</w:t>
      </w:r>
    </w:p>
    <w:p>
      <w:pPr>
        <w:pStyle w:val="ListBullet"/>
      </w:pPr>
      <w:r>
        <w:t>Whether profits are credited to WeTravel</w:t>
      </w:r>
    </w:p>
    <w:p>
      <w:pPr>
        <w:pStyle w:val="ListBullet"/>
      </w:pPr>
      <w:r>
        <w:t>Student-credit rules</w:t>
      </w:r>
    </w:p>
    <w:p>
      <w:pPr>
        <w:pStyle w:val="ListBullet"/>
      </w:pPr>
      <w:r>
        <w:t>Bulk-shipping threshold and shipping-cost rules</w:t>
      </w:r>
    </w:p>
    <w:p>
      <w:pPr>
        <w:pStyle w:val="ListBullet"/>
      </w:pPr>
      <w:r>
        <w:t>Profit-calculation rules</w:t>
      </w:r>
    </w:p>
    <w:p>
      <w:pPr>
        <w:pStyle w:val="Heading2"/>
      </w:pPr>
      <w:r>
        <w:t>New Tracking Requirement</w:t>
      </w:r>
    </w:p>
    <w:p>
      <w:r>
        <w:t>The shipping allocation rule means campaign-level attribution may not be enough. The system may also need to track the individual student seller associated with each order or product quantity:</w:t>
      </w:r>
    </w:p>
    <w:p>
      <w:r>
        <w:t>School / organization → campaign → student seller → customer order → products and quantities → shipping allocation → student credit</w:t>
      </w:r>
    </w:p>
    <w:p>
      <w:r>
        <w:t>The exact student-identification method is still a decision: student-specific links, student codes, required student selection, or another controlled process.</w:t>
      </w:r>
    </w:p>
    <w:p>
      <w:pPr>
        <w:pStyle w:val="Heading2"/>
      </w:pPr>
      <w:r>
        <w:t>Open Questions</w:t>
      </w:r>
    </w:p>
    <w:p>
      <w:pPr>
        <w:pStyle w:val="ListBullet"/>
      </w:pPr>
      <w:r>
        <w:t>Coffee prices</w:t>
      </w:r>
    </w:p>
    <w:p>
      <w:pPr>
        <w:pStyle w:val="ListBullet"/>
      </w:pPr>
      <w:r>
        <w:t>Apparel pricing</w:t>
      </w:r>
    </w:p>
    <w:p>
      <w:pPr>
        <w:pStyle w:val="ListBullet"/>
      </w:pPr>
      <w:r>
        <w:t>How customers identify the student seller</w:t>
      </w:r>
    </w:p>
    <w:p>
      <w:pPr>
        <w:pStyle w:val="ListBullet"/>
      </w:pPr>
      <w:r>
        <w:t>Whether one order may credit multiple students</w:t>
      </w:r>
    </w:p>
    <w:p>
      <w:pPr>
        <w:pStyle w:val="ListBullet"/>
      </w:pPr>
      <w:r>
        <w:t>Whether shipping is deducted from student profit or charged separately</w:t>
      </w:r>
    </w:p>
    <w:p>
      <w:pPr>
        <w:pStyle w:val="ListBullet"/>
      </w:pPr>
      <w:r>
        <w:t>Whether the 50-item threshold is per campaign, school, or shipment</w:t>
      </w:r>
    </w:p>
    <w:p>
      <w:pPr>
        <w:pStyle w:val="ListBullet"/>
      </w:pPr>
      <w:r>
        <w:t>How refunds affect student credit and school payout</w:t>
      </w:r>
    </w:p>
    <w:p>
      <w:pPr>
        <w:pStyle w:val="ListBullet"/>
      </w:pPr>
      <w:r>
        <w:t>How outside-vendor order status is received</w:t>
      </w:r>
    </w:p>
    <w:p>
      <w:pPr>
        <w:pStyle w:val="ListBullet"/>
      </w:pPr>
      <w:r>
        <w:t>Who has permission to edit campaign-specific product images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