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Guardian Fundraising</w:t>
      </w:r>
    </w:p>
    <w:p>
      <w:pPr>
        <w:jc w:val="center"/>
      </w:pPr>
      <w:r>
        <w:rPr>
          <w:i/>
          <w:sz w:val="20"/>
        </w:rPr>
        <w:t>Meeting-Ready Wix Build Recommendation | Step-by-Step Plan &amp; Bottom Line</w:t>
      </w:r>
    </w:p>
    <w:p/>
    <w:p>
      <w:r>
        <w:t>Recommendation: Use the existing Guardian Wix website as the foundation and build a CMS-driven fundraising section with Wix Stores and Velo. Build one reusable campaign template, then launch new fundraisers from data rather than rebuilding pages.</w:t>
      </w:r>
    </w:p>
    <w:p>
      <w:pPr>
        <w:pStyle w:val="Heading1"/>
      </w:pPr>
      <w:r>
        <w:t>Executive Recommendation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Decision</w:t>
            </w:r>
          </w:p>
        </w:tc>
        <w:tc>
          <w:tcPr>
            <w:tcW w:type="dxa" w:w="5112"/>
            <w:vAlign w:val="center"/>
            <w:shd w:fill="D9EAF7"/>
          </w:tcPr>
          <w:p>
            <w:r/>
            <w:r>
              <w:rPr>
                <w:b/>
                <w:sz w:val="18"/>
              </w:rPr>
              <w:t>Recommendation</w:t>
            </w:r>
          </w:p>
        </w:tc>
      </w:tr>
      <w:tr>
        <w:tc>
          <w:tcPr>
            <w:tcW w:type="dxa" w:w="5112"/>
            <w:vAlign w:val="center"/>
          </w:tcPr>
          <w:p>
            <w:r/>
            <w:r>
              <w:rPr>
                <w:b w:val="0"/>
                <w:sz w:val="18"/>
              </w:rPr>
              <w:t>Platform</w:t>
            </w:r>
          </w:p>
        </w:tc>
        <w:tc>
          <w:tcPr>
            <w:tcW w:type="dxa" w:w="5112"/>
            <w:vAlign w:val="center"/>
          </w:tcPr>
          <w:p>
            <w:r/>
            <w:r>
              <w:rPr>
                <w:b w:val="0"/>
                <w:sz w:val="18"/>
              </w:rPr>
              <w:t>Existing Guardian Wix site using Wix Studio, Wix CMS, Wix Stores, and Velo</w:t>
            </w:r>
          </w:p>
        </w:tc>
      </w:tr>
      <w:tr>
        <w:tc>
          <w:tcPr>
            <w:tcW w:type="dxa" w:w="5112"/>
            <w:vAlign w:val="center"/>
          </w:tcPr>
          <w:p>
            <w:r/>
            <w:r>
              <w:rPr>
                <w:b w:val="0"/>
                <w:sz w:val="18"/>
              </w:rPr>
              <w:t>URL</w:t>
            </w:r>
          </w:p>
        </w:tc>
        <w:tc>
          <w:tcPr>
            <w:tcW w:type="dxa" w:w="5112"/>
            <w:vAlign w:val="center"/>
          </w:tcPr>
          <w:p>
            <w:r/>
            <w:r>
              <w:rPr>
                <w:b w:val="0"/>
                <w:sz w:val="18"/>
              </w:rPr>
              <w:t>guardianfundraising.com/fundraising/{campaign-slug}</w:t>
            </w:r>
          </w:p>
        </w:tc>
      </w:tr>
      <w:tr>
        <w:tc>
          <w:tcPr>
            <w:tcW w:type="dxa" w:w="5112"/>
            <w:vAlign w:val="center"/>
          </w:tcPr>
          <w:p>
            <w:r/>
            <w:r>
              <w:rPr>
                <w:b w:val="0"/>
                <w:sz w:val="18"/>
              </w:rPr>
              <w:t>Alternative URL</w:t>
            </w:r>
          </w:p>
        </w:tc>
        <w:tc>
          <w:tcPr>
            <w:tcW w:type="dxa" w:w="5112"/>
            <w:vAlign w:val="center"/>
          </w:tcPr>
          <w:p>
            <w:r/>
            <w:r>
              <w:rPr>
                <w:b w:val="0"/>
                <w:sz w:val="18"/>
              </w:rPr>
              <w:t>fundraisers.guardianfundraising.com/{campaign-slug} only if a separate Wix site is needed</w:t>
            </w:r>
          </w:p>
        </w:tc>
      </w:tr>
      <w:tr>
        <w:tc>
          <w:tcPr>
            <w:tcW w:type="dxa" w:w="5112"/>
            <w:vAlign w:val="center"/>
          </w:tcPr>
          <w:p>
            <w:r/>
            <w:r>
              <w:rPr>
                <w:b w:val="0"/>
                <w:sz w:val="18"/>
              </w:rPr>
              <w:t>Email</w:t>
            </w:r>
          </w:p>
        </w:tc>
        <w:tc>
          <w:tcPr>
            <w:tcW w:type="dxa" w:w="5112"/>
            <w:vAlign w:val="center"/>
          </w:tcPr>
          <w:p>
            <w:r/>
            <w:r>
              <w:rPr>
                <w:b w:val="0"/>
                <w:sz w:val="18"/>
              </w:rPr>
              <w:t>Keep Google Workspace/Gmail</w:t>
            </w:r>
          </w:p>
        </w:tc>
      </w:tr>
      <w:tr>
        <w:tc>
          <w:tcPr>
            <w:tcW w:type="dxa" w:w="5112"/>
            <w:vAlign w:val="center"/>
          </w:tcPr>
          <w:p>
            <w:r/>
            <w:r>
              <w:rPr>
                <w:b w:val="0"/>
                <w:sz w:val="18"/>
              </w:rPr>
              <w:t>Campaign model</w:t>
            </w:r>
          </w:p>
        </w:tc>
        <w:tc>
          <w:tcPr>
            <w:tcW w:type="dxa" w:w="5112"/>
            <w:vAlign w:val="center"/>
          </w:tcPr>
          <w:p>
            <w:r/>
            <w:r>
              <w:rPr>
                <w:b w:val="0"/>
                <w:sz w:val="18"/>
              </w:rPr>
              <w:t>One dynamic fundraiser template; one CMS record per fundraiser</w:t>
            </w:r>
          </w:p>
        </w:tc>
      </w:tr>
      <w:tr>
        <w:tc>
          <w:tcPr>
            <w:tcW w:type="dxa" w:w="5112"/>
            <w:vAlign w:val="center"/>
          </w:tcPr>
          <w:p>
            <w:r/>
            <w:r>
              <w:rPr>
                <w:b w:val="0"/>
                <w:sz w:val="18"/>
              </w:rPr>
              <w:t>Cart rule</w:t>
            </w:r>
          </w:p>
        </w:tc>
        <w:tc>
          <w:tcPr>
            <w:tcW w:type="dxa" w:w="5112"/>
            <w:vAlign w:val="center"/>
          </w:tcPr>
          <w:p>
            <w:r/>
            <w:r>
              <w:rPr>
                <w:b w:val="0"/>
                <w:sz w:val="18"/>
              </w:rPr>
              <w:t>One campaign per cart/order for the initial release</w:t>
            </w:r>
          </w:p>
        </w:tc>
      </w:tr>
      <w:tr>
        <w:tc>
          <w:tcPr>
            <w:tcW w:type="dxa" w:w="5112"/>
            <w:vAlign w:val="center"/>
          </w:tcPr>
          <w:p>
            <w:r/>
            <w:r>
              <w:rPr>
                <w:b w:val="0"/>
                <w:sz w:val="18"/>
              </w:rPr>
              <w:t>Access</w:t>
            </w:r>
          </w:p>
        </w:tc>
        <w:tc>
          <w:tcPr>
            <w:tcW w:type="dxa" w:w="5112"/>
            <w:vAlign w:val="center"/>
          </w:tcPr>
          <w:p>
            <w:r/>
            <w:r>
              <w:rPr>
                <w:b w:val="0"/>
                <w:sz w:val="18"/>
              </w:rPr>
              <w:t>Direct campaign links by default; optional passwords for private campaigns</w:t>
            </w:r>
          </w:p>
        </w:tc>
      </w:tr>
      <w:tr>
        <w:tc>
          <w:tcPr>
            <w:tcW w:type="dxa" w:w="5112"/>
            <w:vAlign w:val="center"/>
          </w:tcPr>
          <w:p>
            <w:r/>
            <w:r>
              <w:rPr>
                <w:b w:val="0"/>
                <w:sz w:val="18"/>
              </w:rPr>
              <w:t>Inventory</w:t>
            </w:r>
          </w:p>
        </w:tc>
        <w:tc>
          <w:tcPr>
            <w:tcW w:type="dxa" w:w="5112"/>
            <w:vAlign w:val="center"/>
          </w:tcPr>
          <w:p>
            <w:r/>
            <w:r>
              <w:rPr>
                <w:b w:val="0"/>
                <w:sz w:val="18"/>
              </w:rPr>
              <w:t>Central product inventory unless reserved inventory is specifically required</w:t>
            </w:r>
          </w:p>
        </w:tc>
      </w:tr>
      <w:tr>
        <w:tc>
          <w:tcPr>
            <w:tcW w:type="dxa" w:w="5112"/>
            <w:vAlign w:val="center"/>
          </w:tcPr>
          <w:p>
            <w:r/>
            <w:r>
              <w:rPr>
                <w:b w:val="0"/>
                <w:sz w:val="18"/>
              </w:rPr>
              <w:t>Launch method</w:t>
            </w:r>
          </w:p>
        </w:tc>
        <w:tc>
          <w:tcPr>
            <w:tcW w:type="dxa" w:w="5112"/>
            <w:vAlign w:val="center"/>
          </w:tcPr>
          <w:p>
            <w:r/>
            <w:r>
              <w:rPr>
                <w:b w:val="0"/>
                <w:sz w:val="18"/>
              </w:rPr>
              <w:t>Pilot one complete fundraiser before scaling</w:t>
            </w:r>
          </w:p>
        </w:tc>
      </w:tr>
    </w:tbl>
    <w:p/>
    <w:p>
      <w:pPr>
        <w:pStyle w:val="Heading1"/>
      </w:pPr>
      <w:r>
        <w:t>Step-by-Step Build Plan</w:t>
      </w:r>
    </w:p>
    <w:p>
      <w:r>
        <w:rPr>
          <w:b/>
          <w:color w:val="1F4E79"/>
        </w:rPr>
        <w:t>1. Confirm ownership and business rules</w:t>
      </w:r>
    </w:p>
    <w:p>
      <w:r>
        <w:t>Confirm access to the primary Wix site, Wix Stores, domain/DNS, Google Workspace, payment processor, Shopify, Finance, and fulfillment stakeholders. Document fundraiser payout rules, refund treatment, taxes, payment fees, shipping rules, and campaign closing rules.</w:t>
      </w:r>
    </w:p>
    <w:p>
      <w:r>
        <w:rPr>
          <w:b/>
          <w:color w:val="1F4E79"/>
        </w:rPr>
        <w:t>2. Select the existing Wix site</w:t>
      </w:r>
    </w:p>
    <w:p>
      <w:r>
        <w:t>Use the primary Guardian Wix site customers already recognize. Do not create a separate site for every school. Add a fundraising section to the existing site.</w:t>
      </w:r>
    </w:p>
    <w:p>
      <w:r>
        <w:rPr>
          <w:b/>
          <w:color w:val="1F4E79"/>
        </w:rPr>
        <w:t>3. Create a controlled fundraising entry point</w:t>
      </w:r>
    </w:p>
    <w:p>
      <w:r>
        <w:t>Add a Fundraising information page or call-to-action to the main site. Do not expose a public directory of every campaign unless the business specifically wants one.</w:t>
      </w:r>
    </w:p>
    <w:p>
      <w:r>
        <w:rPr>
          <w:b/>
          <w:color w:val="1F4E79"/>
        </w:rPr>
        <w:t>4. Create the fundraiser CMS collection</w:t>
      </w:r>
    </w:p>
    <w:p>
      <w:r>
        <w:t>Create fields for campaignId, fundraiserName, schoolName, slug, status, dates, branding, description, shipping mode, bulk destination, password requirement, revenue-share rules, and contacts.</w:t>
      </w:r>
    </w:p>
    <w:p>
      <w:r>
        <w:rPr>
          <w:b/>
          <w:color w:val="1F4E79"/>
        </w:rPr>
        <w:t>5. Create the central Wix Stores catalog</w:t>
      </w:r>
    </w:p>
    <w:p>
      <w:r>
        <w:t>Add products with photos, descriptions, prices, variants, SKUs, weights, dimensions, and inventory. Avoid duplicating products for each school.</w:t>
      </w:r>
    </w:p>
    <w:p>
      <w:r>
        <w:rPr>
          <w:b/>
          <w:color w:val="1F4E79"/>
        </w:rPr>
        <w:t>6. Create the campaign-product mapping</w:t>
      </w:r>
    </w:p>
    <w:p>
      <w:r>
        <w:t>Use a CampaignProducts CMS collection linking campaign IDs to Wix product IDs. Include enabled status, display order, and optional campaign pricing.</w:t>
      </w:r>
    </w:p>
    <w:p>
      <w:r>
        <w:rPr>
          <w:b/>
          <w:color w:val="1F4E79"/>
        </w:rPr>
        <w:t>7. Build one dynamic fundraiser template</w:t>
      </w:r>
    </w:p>
    <w:p>
      <w:r>
        <w:t>Create /fundraising/{slug}. Display only the current school’s branding, description, products, shipping options, and contact information.</w:t>
      </w:r>
    </w:p>
    <w:p>
      <w:r>
        <w:rPr>
          <w:b/>
          <w:color w:val="1F4E79"/>
        </w:rPr>
        <w:t>8. Restrict campaign navigation</w:t>
      </w:r>
    </w:p>
    <w:p>
      <w:r>
        <w:t>Use a simplified campaign header. Hide other fundraisers, global product search, and links that could lead to another campaign. Disable indexing for direct-link-only campaigns.</w:t>
      </w:r>
    </w:p>
    <w:p>
      <w:r>
        <w:rPr>
          <w:b/>
          <w:color w:val="1F4E79"/>
        </w:rPr>
        <w:t>9. Prove campaign attribution</w:t>
      </w:r>
    </w:p>
    <w:p>
      <w:r>
        <w:t>Capture and persist campaignId, fundraiser name, and school from page entry through product selection, cart, checkout, paid order, and reporting. Use Velo or a linked internal order record if native order fields are insufficient.</w:t>
      </w:r>
    </w:p>
    <w:p>
      <w:r>
        <w:rPr>
          <w:b/>
          <w:color w:val="1F4E79"/>
        </w:rPr>
        <w:t>10. Enforce one campaign per cart</w:t>
      </w:r>
    </w:p>
    <w:p>
      <w:r>
        <w:t>For the initial version, prevent mixed-campaign carts. If a customer changes campaigns, require the existing cart to be completed or cleared.</w:t>
      </w:r>
    </w:p>
    <w:p>
      <w:r>
        <w:rPr>
          <w:b/>
          <w:color w:val="1F4E79"/>
        </w:rPr>
        <w:t>11. Implement shipping modes</w:t>
      </w:r>
    </w:p>
    <w:p>
      <w:r>
        <w:t>Support direct shipping, bulk shipping, or both per campaign. Store the selected shipping mode on the order and use the campaign’s bulk destination for bulk shipments.</w:t>
      </w:r>
    </w:p>
    <w:p>
      <w:r>
        <w:rPr>
          <w:b/>
          <w:color w:val="1F4E79"/>
        </w:rPr>
        <w:t>12. Configure payments and email</w:t>
      </w:r>
    </w:p>
    <w:p>
      <w:r>
        <w:t>Configure Wix payment processing, refunds, confirmation emails, internal order alerts, and authenticated sending through Google Workspace.</w:t>
      </w:r>
    </w:p>
    <w:p>
      <w:r>
        <w:rPr>
          <w:b/>
          <w:color w:val="1F4E79"/>
        </w:rPr>
        <w:t>13. Build operational reports</w:t>
      </w:r>
    </w:p>
    <w:p>
      <w:r>
        <w:t>Create campaign, fulfillment, direct-shipping, bulk-shipping, Finance, and payout exports. CSV should be the core export format, with Excel compatibility.</w:t>
      </w:r>
    </w:p>
    <w:p>
      <w:r>
        <w:rPr>
          <w:b/>
          <w:color w:val="1F4E79"/>
        </w:rPr>
        <w:t>14. Establish inventory controls</w:t>
      </w:r>
    </w:p>
    <w:p>
      <w:r>
        <w:t>Define central stock, SKU/variant rules, low-stock alerts, out-of-stock behavior, adjustments, and backorder/made-to-order policy.</w:t>
      </w:r>
    </w:p>
    <w:p>
      <w:r>
        <w:rPr>
          <w:b/>
          <w:color w:val="1F4E79"/>
        </w:rPr>
        <w:t>15. Create the staff launch workflow</w:t>
      </w:r>
    </w:p>
    <w:p>
      <w:r>
        <w:t>Staff create a CMS record, assign a campaign ID, add branding, select products, choose shipping, set dates/passwords, test, publish, and distribute the unique link.</w:t>
      </w:r>
    </w:p>
    <w:p>
      <w:r>
        <w:rPr>
          <w:b/>
          <w:color w:val="1F4E79"/>
        </w:rPr>
        <w:t>16. Pilot one fundraiser</w:t>
      </w:r>
    </w:p>
    <w:p>
      <w:r>
        <w:t>Use one campaign with multiple products, a variant, direct shipping, bulk shipping, a refund, inventory limits, and Finance/fulfillment exports.</w:t>
      </w:r>
    </w:p>
    <w:p>
      <w:r>
        <w:rPr>
          <w:b/>
          <w:color w:val="1F4E79"/>
        </w:rPr>
        <w:t>17. Run QA and approve launch</w:t>
      </w:r>
    </w:p>
    <w:p>
      <w:r>
        <w:t>Test campaign separation, checkout, refunds, shipping, attribution, reporting, mobile layout, email, and inventory before adding more campaigns.</w:t>
      </w:r>
    </w:p>
    <w:p>
      <w:pPr>
        <w:pStyle w:val="Heading1"/>
      </w:pPr>
      <w:r>
        <w:t>Required Wix Data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Collection</w:t>
            </w:r>
          </w:p>
        </w:tc>
        <w:tc>
          <w:tcPr>
            <w:tcW w:type="dxa" w:w="3408"/>
            <w:vAlign w:val="center"/>
            <w:shd w:fill="D9EAF7"/>
          </w:tcPr>
          <w:p>
            <w:r/>
            <w:r>
              <w:rPr>
                <w:b/>
                <w:sz w:val="18"/>
              </w:rPr>
              <w:t>Purpose</w:t>
            </w:r>
          </w:p>
        </w:tc>
        <w:tc>
          <w:tcPr>
            <w:tcW w:type="dxa" w:w="3408"/>
            <w:vAlign w:val="center"/>
            <w:shd w:fill="D9EAF7"/>
          </w:tcPr>
          <w:p>
            <w:r/>
            <w:r>
              <w:rPr>
                <w:b/>
                <w:sz w:val="18"/>
              </w:rPr>
              <w:t>Key fields</w:t>
            </w:r>
          </w:p>
        </w:tc>
      </w:tr>
      <w:tr>
        <w:tc>
          <w:tcPr>
            <w:tcW w:type="dxa" w:w="3408"/>
            <w:vAlign w:val="center"/>
          </w:tcPr>
          <w:p>
            <w:r/>
            <w:r>
              <w:rPr>
                <w:b w:val="0"/>
                <w:sz w:val="18"/>
              </w:rPr>
              <w:t>Fundraisers</w:t>
            </w:r>
          </w:p>
        </w:tc>
        <w:tc>
          <w:tcPr>
            <w:tcW w:type="dxa" w:w="3408"/>
            <w:vAlign w:val="center"/>
          </w:tcPr>
          <w:p>
            <w:r/>
            <w:r>
              <w:rPr>
                <w:b w:val="0"/>
                <w:sz w:val="18"/>
              </w:rPr>
              <w:t>One record per school/campaign</w:t>
            </w:r>
          </w:p>
        </w:tc>
        <w:tc>
          <w:tcPr>
            <w:tcW w:type="dxa" w:w="3408"/>
            <w:vAlign w:val="center"/>
          </w:tcPr>
          <w:p>
            <w:r/>
            <w:r>
              <w:rPr>
                <w:b w:val="0"/>
                <w:sz w:val="18"/>
              </w:rPr>
              <w:t>campaignId, schoolName, slug, status, dates, shipping, bulk destination, payout rules</w:t>
            </w:r>
          </w:p>
        </w:tc>
      </w:tr>
      <w:tr>
        <w:tc>
          <w:tcPr>
            <w:tcW w:type="dxa" w:w="3408"/>
            <w:vAlign w:val="center"/>
          </w:tcPr>
          <w:p>
            <w:r/>
            <w:r>
              <w:rPr>
                <w:b w:val="0"/>
                <w:sz w:val="18"/>
              </w:rPr>
              <w:t>CampaignProducts</w:t>
            </w:r>
          </w:p>
        </w:tc>
        <w:tc>
          <w:tcPr>
            <w:tcW w:type="dxa" w:w="3408"/>
            <w:vAlign w:val="center"/>
          </w:tcPr>
          <w:p>
            <w:r/>
            <w:r>
              <w:rPr>
                <w:b w:val="0"/>
                <w:sz w:val="18"/>
              </w:rPr>
              <w:t>Controls products shown on each campaign</w:t>
            </w:r>
          </w:p>
        </w:tc>
        <w:tc>
          <w:tcPr>
            <w:tcW w:type="dxa" w:w="3408"/>
            <w:vAlign w:val="center"/>
          </w:tcPr>
          <w:p>
            <w:r/>
            <w:r>
              <w:rPr>
                <w:b w:val="0"/>
                <w:sz w:val="18"/>
              </w:rPr>
              <w:t>campaignId, productId, enabled, displayOrder, campaignPrice</w:t>
            </w:r>
          </w:p>
        </w:tc>
      </w:tr>
      <w:tr>
        <w:tc>
          <w:tcPr>
            <w:tcW w:type="dxa" w:w="3408"/>
            <w:vAlign w:val="center"/>
          </w:tcPr>
          <w:p>
            <w:r/>
            <w:r>
              <w:rPr>
                <w:b w:val="0"/>
                <w:sz w:val="18"/>
              </w:rPr>
              <w:t>InternalOrders, optional</w:t>
            </w:r>
          </w:p>
        </w:tc>
        <w:tc>
          <w:tcPr>
            <w:tcW w:type="dxa" w:w="3408"/>
            <w:vAlign w:val="center"/>
          </w:tcPr>
          <w:p>
            <w:r/>
            <w:r>
              <w:rPr>
                <w:b w:val="0"/>
                <w:sz w:val="18"/>
              </w:rPr>
              <w:t>Stores reporting fields if native Wix order data is insufficient</w:t>
            </w:r>
          </w:p>
        </w:tc>
        <w:tc>
          <w:tcPr>
            <w:tcW w:type="dxa" w:w="3408"/>
            <w:vAlign w:val="center"/>
          </w:tcPr>
          <w:p>
            <w:r/>
            <w:r>
              <w:rPr>
                <w:b w:val="0"/>
                <w:sz w:val="18"/>
              </w:rPr>
              <w:t>orderNumber, campaignId, school, shippingMode, payout, fulfillmentStatus</w:t>
            </w:r>
          </w:p>
        </w:tc>
      </w:tr>
      <w:tr>
        <w:tc>
          <w:tcPr>
            <w:tcW w:type="dxa" w:w="3408"/>
            <w:vAlign w:val="center"/>
          </w:tcPr>
          <w:p>
            <w:r/>
            <w:r>
              <w:rPr>
                <w:b w:val="0"/>
                <w:sz w:val="18"/>
              </w:rPr>
              <w:t>Wix Stores Products</w:t>
            </w:r>
          </w:p>
        </w:tc>
        <w:tc>
          <w:tcPr>
            <w:tcW w:type="dxa" w:w="3408"/>
            <w:vAlign w:val="center"/>
          </w:tcPr>
          <w:p>
            <w:r/>
            <w:r>
              <w:rPr>
                <w:b w:val="0"/>
                <w:sz w:val="18"/>
              </w:rPr>
              <w:t>Central product catalog</w:t>
            </w:r>
          </w:p>
        </w:tc>
        <w:tc>
          <w:tcPr>
            <w:tcW w:type="dxa" w:w="3408"/>
            <w:vAlign w:val="center"/>
          </w:tcPr>
          <w:p>
            <w:r/>
            <w:r>
              <w:rPr>
                <w:b w:val="0"/>
                <w:sz w:val="18"/>
              </w:rPr>
              <w:t>product, SKU, variants, price, stock, shipping data</w:t>
            </w:r>
          </w:p>
        </w:tc>
      </w:tr>
    </w:tbl>
    <w:p/>
    <w:p>
      <w:pPr>
        <w:pStyle w:val="Heading1"/>
      </w:pPr>
      <w:r>
        <w:t>Launch Acceptance Checklist</w:t>
      </w:r>
    </w:p>
    <w:p>
      <w:pPr>
        <w:pStyle w:val="ListBullet"/>
      </w:pPr>
      <w:r>
        <w:t>A campaign link opens the correct fundraiser page.</w:t>
      </w:r>
    </w:p>
    <w:p>
      <w:pPr>
        <w:pStyle w:val="ListBullet"/>
      </w:pPr>
      <w:r>
        <w:t>Only products assigned to that campaign are shown.</w:t>
      </w:r>
    </w:p>
    <w:p>
      <w:pPr>
        <w:pStyle w:val="ListBullet"/>
      </w:pPr>
      <w:r>
        <w:t>The cart cannot accidentally combine campaigns.</w:t>
      </w:r>
    </w:p>
    <w:p>
      <w:pPr>
        <w:pStyle w:val="ListBullet"/>
      </w:pPr>
      <w:r>
        <w:t>The campaign ID survives through checkout and appears in reports.</w:t>
      </w:r>
    </w:p>
    <w:p>
      <w:pPr>
        <w:pStyle w:val="ListBullet"/>
      </w:pPr>
      <w:r>
        <w:t>Direct and bulk shipping are clearly separated.</w:t>
      </w:r>
    </w:p>
    <w:p>
      <w:pPr>
        <w:pStyle w:val="ListBullet"/>
      </w:pPr>
      <w:r>
        <w:t>Customer confirmations are delivered.</w:t>
      </w:r>
    </w:p>
    <w:p>
      <w:pPr>
        <w:pStyle w:val="ListBullet"/>
      </w:pPr>
      <w:r>
        <w:t>Refunds and cancellations update reporting.</w:t>
      </w:r>
    </w:p>
    <w:p>
      <w:pPr>
        <w:pStyle w:val="ListBullet"/>
      </w:pPr>
      <w:r>
        <w:t>Finance can use the CSV/Excel export.</w:t>
      </w:r>
    </w:p>
    <w:p>
      <w:pPr>
        <w:pStyle w:val="ListBullet"/>
      </w:pPr>
      <w:r>
        <w:t>Fulfillment can generate direct and bulk packing lists.</w:t>
      </w:r>
    </w:p>
    <w:p>
      <w:pPr>
        <w:pStyle w:val="ListBullet"/>
      </w:pPr>
      <w:r>
        <w:t>Inventory behavior is understood and tested.</w:t>
      </w:r>
    </w:p>
    <w:p>
      <w:pPr>
        <w:pStyle w:val="ListBullet"/>
      </w:pPr>
      <w:r>
        <w:t>The layout works on mobile and desktop.</w:t>
      </w:r>
    </w:p>
    <w:p>
      <w:pPr>
        <w:pStyle w:val="ListBullet"/>
      </w:pPr>
      <w:r>
        <w:t>A second campaign can be created without rebuilding the page.</w:t>
      </w:r>
    </w:p>
    <w:p>
      <w:pPr>
        <w:pStyle w:val="Heading1"/>
      </w:pPr>
      <w:r>
        <w:t>Bottom Line</w:t>
      </w:r>
    </w:p>
    <w:p>
      <w:r>
        <w:t>Build the fundraising system inside the existing Guardian Wix website, not as a separate website for every fundraiser. Use one reusable dynamic page, a central Wix Stores catalog, Wix CMS for campaign configuration, and Velo for the logic Wix does not provide natively.</w:t>
      </w:r>
    </w:p>
    <w:p>
      <w:r>
        <w:t>The first release should be intentionally narrow: one fundraiser per cart, one campaign per order, direct and bulk shipping tested, and reliable campaign attribution. The project should not scale to multiple schools until a complete pilot proves the path from campaign link to payment, fulfillment report, Finance export, and fundraiser payout.</w:t>
      </w:r>
    </w:p>
    <w:p>
      <w:r>
        <w:t>Wix is suitable for this approach. The main risk is not visual design; it is preserving the correct fundraiser identity through cart, checkout, order management, fulfillment, and Finance reporting.</w:t>
      </w:r>
    </w:p>
    <w:p>
      <w:pPr>
        <w:pStyle w:val="Heading1"/>
      </w:pPr>
      <w:r>
        <w:t>Meeting Decisions Needed</w:t>
      </w:r>
    </w:p>
    <w:p>
      <w:pPr>
        <w:pStyle w:val="ListBullet"/>
      </w:pPr>
      <w:r>
        <w:t>Which existing Wix site owns the fundraising section?</w:t>
      </w:r>
    </w:p>
    <w:p>
      <w:pPr>
        <w:pStyle w:val="ListBullet"/>
      </w:pPr>
      <w:r>
        <w:t>Should active campaigns be direct-link-only or listed publicly?</w:t>
      </w:r>
    </w:p>
    <w:p>
      <w:pPr>
        <w:pStyle w:val="ListBullet"/>
      </w:pPr>
      <w:r>
        <w:t>Will customers be allowed to choose direct versus bulk shipping?</w:t>
      </w:r>
    </w:p>
    <w:p>
      <w:pPr>
        <w:pStyle w:val="ListBullet"/>
      </w:pPr>
      <w:r>
        <w:t>What is the fundraiser payout formula?</w:t>
      </w:r>
    </w:p>
    <w:p>
      <w:pPr>
        <w:pStyle w:val="ListBullet"/>
      </w:pPr>
      <w:r>
        <w:t>Will inventory be central or reserved by campaign?</w:t>
      </w:r>
    </w:p>
    <w:p>
      <w:pPr>
        <w:pStyle w:val="ListBullet"/>
      </w:pPr>
      <w:r>
        <w:t>Who owns refunds, chargebacks, and customer support?</w:t>
      </w:r>
    </w:p>
    <w:p>
      <w:pPr>
        <w:pStyle w:val="ListBullet"/>
      </w:pPr>
      <w:r>
        <w:t>Who approves the pilot for production launch?</w:t>
      </w:r>
    </w:p>
    <w:p>
      <w:r>
        <w:br w:type="page"/>
      </w:r>
    </w:p>
    <w:p>
      <w:pPr>
        <w:pStyle w:val="Heading1"/>
      </w:pPr>
      <w:r>
        <w:t>Implementation Addendum: Student Tracking and Expanded Catalog</w:t>
      </w:r>
    </w:p>
    <w:p>
      <w:r>
        <w:t>The latest operating notes expand the system from campaign-level ecommerce into a potential student-credit and shipping-allocation system.</w:t>
      </w:r>
    </w:p>
    <w:p>
      <w:pPr>
        <w:pStyle w:val="Heading2"/>
      </w:pPr>
      <w:r>
        <w:t>Expanded Attribution Model</w:t>
      </w:r>
    </w:p>
    <w:p>
      <w:r>
        <w:t>The recommended model may need to become:</w:t>
      </w:r>
    </w:p>
    <w:p>
      <w:r>
        <w:t>School / organization → campaign → student seller → customer order → products and quantities → shipping allocation → payout / student credit</w:t>
      </w:r>
    </w:p>
    <w:p>
      <w:pPr>
        <w:pStyle w:val="Heading2"/>
      </w:pPr>
      <w:r>
        <w:t>Recommended Release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Release</w:t>
            </w:r>
          </w:p>
        </w:tc>
        <w:tc>
          <w:tcPr>
            <w:tcW w:type="dxa" w:w="5112"/>
            <w:vAlign w:val="center"/>
            <w:shd w:fill="D9EAF7"/>
          </w:tcPr>
          <w:p>
            <w:r>
              <w:rPr>
                <w:b/>
              </w:rPr>
              <w:t>Scope</w:t>
            </w:r>
          </w:p>
        </w:tc>
      </w:tr>
      <w:tr>
        <w:tc>
          <w:tcPr>
            <w:tcW w:type="dxa" w:w="5112"/>
          </w:tcPr>
          <w:p>
            <w:r>
              <w:t>MVP</w:t>
            </w:r>
          </w:p>
        </w:tc>
        <w:tc>
          <w:tcPr>
            <w:tcW w:type="dxa" w:w="5112"/>
          </w:tcPr>
          <w:p>
            <w:r>
              <w:t>School and campaign attribution, campaign-specific products, direct/bulk shipping, inventory basics, Finance exports, school-level payout.</w:t>
            </w:r>
          </w:p>
        </w:tc>
      </w:tr>
      <w:tr>
        <w:tc>
          <w:tcPr>
            <w:tcW w:type="dxa" w:w="5112"/>
          </w:tcPr>
          <w:p>
            <w:r>
              <w:t>Phase 2</w:t>
            </w:r>
          </w:p>
        </w:tc>
        <w:tc>
          <w:tcPr>
            <w:tcW w:type="dxa" w:w="5112"/>
          </w:tcPr>
          <w:p>
            <w:r>
              <w:t>Student records, student-specific links or codes, seller-level order attribution, unit totals, shipping allocation, student-credit reports.</w:t>
            </w:r>
          </w:p>
        </w:tc>
      </w:tr>
    </w:tbl>
    <w:p/>
    <w:p>
      <w:pPr>
        <w:pStyle w:val="Heading2"/>
      </w:pPr>
      <w:r>
        <w:t>Catalog and Fulfillment Design</w:t>
      </w:r>
    </w:p>
    <w:p>
      <w:pPr>
        <w:pStyle w:val="ListBullet"/>
      </w:pPr>
      <w:r>
        <w:t>Use Wix Stores as the central catalog for spices, tumblers, water bottles, candles, coffee, and future apparel.</w:t>
      </w:r>
    </w:p>
    <w:p>
      <w:pPr>
        <w:pStyle w:val="ListBullet"/>
      </w:pPr>
      <w:r>
        <w:t>Treat popcorn, cookie dough, and Boost My Group as outside-vendor products with a defined order handoff.</w:t>
      </w:r>
    </w:p>
    <w:p>
      <w:pPr>
        <w:pStyle w:val="ListBullet"/>
      </w:pPr>
      <w:r>
        <w:t>Use campaign-product mapping so each fundraiser can have a different product selection.</w:t>
      </w:r>
    </w:p>
    <w:p>
      <w:pPr>
        <w:pStyle w:val="ListBullet"/>
      </w:pPr>
      <w:r>
        <w:t>Support campaign-specific images for engraved tumblers and water bottles.</w:t>
      </w:r>
    </w:p>
    <w:p>
      <w:pPr>
        <w:pStyle w:val="ListBullet"/>
      </w:pPr>
      <w:r>
        <w:t>Keep product units individual even when manufacturer cases are used for warehouse purchasing.</w:t>
      </w:r>
    </w:p>
    <w:p>
      <w:pPr>
        <w:pStyle w:val="Heading2"/>
      </w:pPr>
      <w:r>
        <w:t>Shipping Rule to Validate</w:t>
      </w:r>
    </w:p>
    <w:p>
      <w:r>
        <w:t>Free bulk shipping applies at 50 items or more. Under 50 items, shipping cost is allocated across student sellers by units sold. This rule must be formally defined before automating payout calculations.</w:t>
      </w:r>
    </w:p>
    <w:p>
      <w:pPr>
        <w:pStyle w:val="Heading2"/>
      </w:pPr>
      <w:r>
        <w:t>New Meeting Decisions</w:t>
      </w:r>
    </w:p>
    <w:p>
      <w:pPr>
        <w:pStyle w:val="ListBullet"/>
      </w:pPr>
      <w:r>
        <w:t>Will student attribution be required in the MVP or Phase 2?</w:t>
      </w:r>
    </w:p>
    <w:p>
      <w:pPr>
        <w:pStyle w:val="ListBullet"/>
      </w:pPr>
      <w:r>
        <w:t>How will customers identify the student seller?</w:t>
      </w:r>
    </w:p>
    <w:p>
      <w:pPr>
        <w:pStyle w:val="ListBullet"/>
      </w:pPr>
      <w:r>
        <w:t>How are shipping costs deducted or displayed?</w:t>
      </w:r>
    </w:p>
    <w:p>
      <w:pPr>
        <w:pStyle w:val="ListBullet"/>
      </w:pPr>
      <w:r>
        <w:t>How does the 50-item threshold apply to mixed products?</w:t>
      </w:r>
    </w:p>
    <w:p>
      <w:pPr>
        <w:pStyle w:val="ListBullet"/>
      </w:pPr>
      <w:r>
        <w:t>Who edits and approves fundraiser-specific product images?</w:t>
      </w:r>
    </w:p>
    <w:p>
      <w:pPr>
        <w:pStyle w:val="ListBullet"/>
      </w:pPr>
      <w:r>
        <w:t>How are outside-vendor products and status updates integrated?</w:t>
      </w:r>
    </w:p>
    <w:p>
      <w:pPr>
        <w:pStyle w:val="ListBullet"/>
      </w:pPr>
      <w:r>
        <w:t>What are the missing coffee prices and future apparel prices?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