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t>The perturbation process is illustrated for the Arabidopsis shoot branching network (Figure 2A), where 38 nodes and 75 edges capture the interplay between core genetic regulators, hormonal signalling pathways, and environmental inputs. To demonstrate how these cascade networks generate predictions, we trace the propagation of a MAX2 gene knockout through the strigolactone signalling module (Figure 2B,C). Under control conditions, all nodes converge to a baseline value of 1 and the phenotype remains at steady state (Figure 2B). When MAX2 is knocked out by setting its modifier to 0, the loss of MAX2-mediated degradation causes its targets SMXL6/7/8 and BES1 to accumulate, which in turn suppresses BRC1 expression both directly and through repression of its co-activator SPL9. The collapse of BRC1 derepresses the auxin transporter PIN3 and abolishes the BRC1→HB21→NCED3→ABA branch-inhibitory cascade, while SMXL6/7/8 simultaneously up-regulates PIN1; together, these rearrangements produce a predicted increase in shoot branching, correctly matching the experimentally observed increased branching phenotype of MAX2 mutants (Figure 2C,D). This example illustrates how the cascade architecture translates a single genetic perturbation into a directional phenotypic prediction through a chain of mechanistically interpretable regulatory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