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67404">
      <w:pPr>
        <w:pStyle w:val="24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19" w:name="_GoBack"/>
      <w:bookmarkEnd w:id="19"/>
    </w:p>
    <w:tbl>
      <w:tblPr>
        <w:tblStyle w:val="14"/>
        <w:tblW w:w="8887" w:type="dxa"/>
        <w:tblInd w:w="-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7"/>
      </w:tblGrid>
      <w:tr w14:paraId="3525E4B8">
        <w:trPr>
          <w:trHeight w:val="1707" w:hRule="atLeast"/>
        </w:trPr>
        <w:tc>
          <w:tcPr>
            <w:tcW w:w="8887" w:type="dxa"/>
            <w:noWrap w:val="0"/>
            <w:vAlign w:val="top"/>
          </w:tcPr>
          <w:p w14:paraId="4E64FBA5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  级： 内部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r>
          </w:p>
          <w:p w14:paraId="09E90920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段： 设计阶段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r>
          </w:p>
          <w:p w14:paraId="73F2C2E7">
            <w:pPr>
              <w:pStyle w:val="24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V2.0</w:t>
            </w:r>
          </w:p>
          <w:p w14:paraId="7E3D9DCB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7C10091A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5EA78C93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7315F070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编译器</w:t>
            </w:r>
          </w:p>
          <w:p w14:paraId="194D0A1A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软件概要设计说明</w:t>
            </w:r>
          </w:p>
        </w:tc>
      </w:tr>
      <w:tr w14:paraId="57F790E6">
        <w:trPr>
          <w:trHeight w:val="6854" w:hRule="atLeast"/>
        </w:trPr>
        <w:tc>
          <w:tcPr>
            <w:tcW w:w="8887" w:type="dxa"/>
            <w:noWrap w:val="0"/>
            <w:vAlign w:val="top"/>
          </w:tcPr>
          <w:p w14:paraId="593F1537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产品型号-BYQ</w:t>
            </w:r>
          </w:p>
          <w:p w14:paraId="6916C9B3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6EAA33A2">
            <w:pPr>
              <w:pStyle w:val="24"/>
              <w:spacing w:before="240" w:line="48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348C45DB">
            <w:pPr>
              <w:pStyle w:val="24"/>
              <w:spacing w:before="240"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394CB334">
            <w:pPr>
              <w:pStyle w:val="24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0681A6C3">
            <w:pPr>
              <w:pStyle w:val="24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0698A654">
            <w:pPr>
              <w:pStyle w:val="23"/>
              <w:spacing w:before="240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测试大学</w:t>
            </w:r>
          </w:p>
          <w:p w14:paraId="2452DB20">
            <w:pPr>
              <w:pStyle w:val="23"/>
              <w:spacing w:before="240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</w:r>
            <w:r>
              <w:rPr>
                <w:szCs w:val="32"/>
              </w:rPr>
            </w:r>
            <w:r>
              <w:rPr>
                <w:szCs w:val="32"/>
              </w:rPr>
            </w:r>
            <w:r>
              <w:rPr>
                <w:rFonts w:hint="eastAsia"/>
                <w:szCs w:val="32"/>
              </w:rPr>
              <w:t>2026-04-24</w:t>
            </w:r>
            <w:r>
              <w:rPr>
                <w:szCs w:val="32"/>
              </w:rPr>
            </w:r>
          </w:p>
        </w:tc>
      </w:tr>
    </w:tbl>
    <w:p w14:paraId="71358FB5">
      <w:pPr>
        <w:pStyle w:val="24"/>
        <w:rPr>
          <w:rFonts w:hint="eastAsia"/>
        </w:rPr>
      </w:pPr>
    </w:p>
    <w:p w14:paraId="71429F05">
      <w:pPr>
        <w:pStyle w:val="24"/>
        <w:rPr>
          <w:rFonts w:hint="eastAsia"/>
        </w:rPr>
      </w:pPr>
    </w:p>
    <w:p w14:paraId="6F2009E7">
      <w:pPr>
        <w:pStyle w:val="24"/>
      </w:pPr>
      <w:r>
        <w:br w:type="page"/>
      </w:r>
    </w:p>
    <w:tbl>
      <w:tblPr>
        <w:tblStyle w:val="14"/>
        <w:tblW w:w="8175" w:type="dxa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 w14:paraId="358A6D6C">
        <w:trPr>
          <w:wBefore w:w="0" w:type="dxa"/>
          <w:wAfter w:w="0" w:type="dxa"/>
          <w:trHeight w:val="1454" w:hRule="atLeast"/>
        </w:trPr>
        <w:tc>
          <w:tcPr>
            <w:tcW w:w="8175" w:type="dxa"/>
            <w:tcBorders>
              <w:bottom w:val="nil"/>
            </w:tcBorders>
            <w:noWrap w:val="0"/>
            <w:vAlign w:val="top"/>
          </w:tcPr>
          <w:p w14:paraId="4E966B98">
            <w:pPr>
              <w:pStyle w:val="20"/>
              <w:ind w:firstLine="0"/>
              <w:rPr>
                <w:sz w:val="21"/>
                <w:szCs w:val="21"/>
              </w:rPr>
            </w:pPr>
          </w:p>
        </w:tc>
      </w:tr>
      <w:tr w14:paraId="535081AF">
        <w:trPr>
          <w:wBefore w:w="0" w:type="dxa"/>
          <w:wAfter w:w="0" w:type="dxa"/>
          <w:trHeight w:val="1502" w:hRule="atLeast"/>
        </w:trPr>
        <w:tc>
          <w:tcPr>
            <w:tcW w:w="8175" w:type="dxa"/>
            <w:tcBorders>
              <w:top w:val="nil"/>
              <w:bottom w:val="nil"/>
            </w:tcBorders>
            <w:noWrap w:val="0"/>
            <w:vAlign w:val="top"/>
          </w:tcPr>
          <w:p w14:paraId="00193A6A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编译器</w:t>
            </w:r>
          </w:p>
          <w:p w14:paraId="13A181A0">
            <w:pPr>
              <w:pStyle w:val="24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>软件概要设计说明</w:t>
            </w:r>
          </w:p>
        </w:tc>
      </w:tr>
      <w:tr w14:paraId="7DE0BAED">
        <w:trPr>
          <w:wBefore w:w="0" w:type="dxa"/>
          <w:wAfter w:w="0" w:type="dxa"/>
          <w:trHeight w:val="6240" w:hRule="atLeast"/>
        </w:trPr>
        <w:tc>
          <w:tcPr>
            <w:tcW w:w="8175" w:type="dxa"/>
            <w:tcBorders>
              <w:top w:val="nil"/>
            </w:tcBorders>
            <w:noWrap w:val="0"/>
            <w:vAlign w:val="top"/>
          </w:tcPr>
          <w:p w14:paraId="0DEED60C">
            <w:pPr>
              <w:pStyle w:val="2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产品型号-BYQ</w:t>
            </w:r>
          </w:p>
          <w:p w14:paraId="35DE8E3E">
            <w:pPr>
              <w:pStyle w:val="23"/>
              <w:rPr>
                <w:rFonts w:hint="eastAsia" w:ascii="Times New Roman"/>
              </w:rPr>
            </w:pPr>
          </w:p>
          <w:p w14:paraId="0670C05C">
            <w:pPr>
              <w:pStyle w:val="23"/>
              <w:rPr>
                <w:rFonts w:hint="eastAsia" w:ascii="Times New Roman"/>
              </w:rPr>
            </w:pPr>
          </w:p>
          <w:p w14:paraId="6F8CF782">
            <w:pPr>
              <w:pStyle w:val="23"/>
              <w:rPr>
                <w:rFonts w:hint="eastAsia" w:ascii="Times New Roman"/>
              </w:rPr>
            </w:pPr>
          </w:p>
          <w:p w14:paraId="51CB8335">
            <w:pPr>
              <w:pStyle w:val="23"/>
              <w:rPr>
                <w:rFonts w:hint="eastAsia" w:ascii="Times New Roman"/>
              </w:rPr>
            </w:pPr>
          </w:p>
          <w:p w14:paraId="56B49983">
            <w:pPr>
              <w:pStyle w:val="23"/>
              <w:rPr>
                <w:rFonts w:hint="eastAsia" w:ascii="Times New Roman"/>
              </w:rPr>
            </w:pPr>
          </w:p>
          <w:p w14:paraId="6EE7C718">
            <w:pPr>
              <w:pStyle w:val="23"/>
              <w:rPr>
                <w:rFonts w:hint="eastAsia" w:ascii="Times New Roman"/>
              </w:rPr>
            </w:pPr>
          </w:p>
          <w:p w14:paraId="5E14624F">
            <w:pPr>
              <w:pStyle w:val="23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DD5E554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247D93B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D9F0013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38DA7A3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6D0CA44">
            <w:pPr>
              <w:pStyle w:val="23"/>
              <w:ind w:left="2438" w:leftChars="0" w:hanging="141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1514709E">
      <w:pPr>
        <w:pStyle w:val="24"/>
        <w:rPr>
          <w:rFonts w:hint="eastAsia"/>
        </w:rPr>
      </w:pPr>
    </w:p>
    <w:p w14:paraId="4A8BA240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1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118ACBFA"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2139AAD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254C82AC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DF7F76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4F167CD7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663B3C80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59FB622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78C0E7F7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2F3D971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7652AAFC"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630588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4A46B4F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A6BCC2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982B6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11453E7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22BACE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6AE556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7CD437C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BC799EA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A1B8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5D06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BBA42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929A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0282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3E2B6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B583F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C2E29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5C07678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ADF1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8360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9B56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52158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74EE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D3489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498C3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6B8A3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E9EE474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4F4A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AB5CF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5AE75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3B188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3F02C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CEF60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3A49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914145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759AD08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90CB0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4C8D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43EF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2FBA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80DE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81AB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FB0E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F2439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74409C9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E92A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8DC6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3C750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9225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BD415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47E5A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4C0B2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7C10C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3207746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D80E5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0E3D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2E2D3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812BD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E9A1F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63B94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3E2B3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3146E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FCDC653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1A4F0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71A4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9CAAC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9DE01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0AEF4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84932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4A0B4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8C7A7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E077413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6F69F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8FB1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A5ED7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5522B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1EB48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0B532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2E18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00082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573D693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7404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0CC4E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2D189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1CA4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16EFF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7D4D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624E0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A6865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562FDC8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445F0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5122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5B3D0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7CADF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DFDF3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2BB1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F71D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DCE6C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BFC0C40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5D161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81EF5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D83F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DC61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52AA0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FF92B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8CDA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046A4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48B5ADE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FD17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2F16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2F8D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BD2DB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BB98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1183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0E140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C10A8B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C44C37C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8079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12B8F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2123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8A01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4D2E5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7B7F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476F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94082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01B018D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1E31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1645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08E51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29AED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47F03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89E58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81CE5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260C1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4FE87B4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0D170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52AA3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102A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7D6D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D935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3842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4460E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8528C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33DC5C2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9B4D1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32C18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E92B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AC567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4B770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BC4B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CBB7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B530E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C449E39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DABA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CF37A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7D1BB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23EBB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45C91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E2F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30ADF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BDFF3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497052E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D5AC7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849B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F50D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A8F13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63B0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19AD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E3CEF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4243D6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721B4985">
      <w:pPr>
        <w:pStyle w:val="24"/>
        <w:rPr>
          <w:rFonts w:hint="eastAsia"/>
        </w:rPr>
      </w:pPr>
    </w:p>
    <w:p w14:paraId="22D22567">
      <w:pPr>
        <w:pStyle w:val="24"/>
        <w:rPr>
          <w:rFonts w:hint="eastAsia"/>
        </w:rPr>
      </w:pPr>
    </w:p>
    <w:p w14:paraId="394B9FB8">
      <w:pPr>
        <w:pStyle w:val="24"/>
        <w:rPr>
          <w:rFonts w:hint="eastAsia"/>
        </w:rPr>
      </w:pPr>
    </w:p>
    <w:p w14:paraId="7964EE46">
      <w:pPr>
        <w:pStyle w:val="24"/>
        <w:rPr>
          <w:rFonts w:hint="eastAsia"/>
        </w:rPr>
      </w:pPr>
    </w:p>
    <w:p w14:paraId="450FFF04">
      <w:pPr>
        <w:pStyle w:val="24"/>
        <w:sectPr>
          <w:footerReference r:id="rId3" w:type="even"/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D22FA3B">
      <w:pPr>
        <w:pStyle w:val="25"/>
        <w:rPr>
          <w:rFonts w:hint="eastAsia"/>
        </w:rPr>
      </w:pPr>
      <w:r>
        <w:rPr>
          <w:rFonts w:hint="eastAsia"/>
        </w:rPr>
        <w:t>目录</w:t>
      </w:r>
    </w:p>
    <w:p w14:paraId="695B3F89">
      <w:pPr>
        <w:pStyle w:val="12"/>
        <w:tabs>
          <w:tab w:val="right" w:leader="dot" w:pos="8296"/>
        </w:tabs>
        <w:rPr>
          <w:lang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"_Toc58519184"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1</w:t>
      </w:r>
      <w:r>
        <w:rPr>
          <w:rStyle w:val="19"/>
          <w:kern w:val="32"/>
          <w:lang/>
        </w:rPr>
        <w:t xml:space="preserve"> 范围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_Toc58519184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5C790DE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"_Toc58519185"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1.1</w:t>
      </w:r>
      <w:r>
        <w:rPr>
          <w:rStyle w:val="19"/>
          <w:rFonts w:ascii="宋体" w:hAnsi="宋体"/>
          <w:lang/>
        </w:rPr>
        <w:t xml:space="preserve"> 标识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_Toc58519185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C7A5417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"_Toc58519186"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1.2</w:t>
      </w:r>
      <w:r>
        <w:rPr>
          <w:rStyle w:val="19"/>
          <w:rFonts w:ascii="宋体" w:hAnsi="宋体"/>
          <w:lang/>
        </w:rPr>
        <w:t xml:space="preserve"> 系统概述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_Toc58519186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D2E13FB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"_Toc58519187"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1.3</w:t>
      </w:r>
      <w:r>
        <w:rPr>
          <w:rStyle w:val="19"/>
          <w:rFonts w:ascii="宋体" w:hAnsi="宋体"/>
          <w:lang/>
        </w:rPr>
        <w:t xml:space="preserve"> 文裆概述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_Toc58519187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0037128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"_Toc58519188"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2</w:t>
      </w:r>
      <w:r>
        <w:rPr>
          <w:rStyle w:val="19"/>
          <w:kern w:val="32"/>
          <w:lang/>
        </w:rPr>
        <w:t xml:space="preserve"> 引用文档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_Toc58519188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0246004D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"_Toc58519189"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3</w:t>
      </w:r>
      <w:r>
        <w:rPr>
          <w:rStyle w:val="19"/>
          <w:kern w:val="32"/>
          <w:lang/>
        </w:rPr>
        <w:t xml:space="preserve"> 系统设计决策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_Toc58519189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138C0BCC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"_Toc58519190"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4</w:t>
      </w:r>
      <w:r>
        <w:rPr>
          <w:rStyle w:val="19"/>
          <w:kern w:val="32"/>
          <w:lang/>
        </w:rPr>
        <w:t xml:space="preserve"> 系统体系结构设计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1C1B387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"_Toc58519191"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宋体" w:hAnsi="宋体"/>
          <w:lang/>
        </w:rPr>
        <w:t>4.X CSCI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DBA37B0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"_Toc58519192"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lang/>
        </w:rPr>
        <w:t xml:space="preserve">4.X.1 </w:t>
      </w:r>
      <w:r>
        <w:rPr>
          <w:rStyle w:val="19"/>
          <w:rFonts w:ascii="宋体" w:hAnsi="宋体"/>
          <w:lang/>
        </w:rPr>
        <w:t>CSCI概述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B750B7D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"_Toc58519193"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lang/>
        </w:rPr>
        <w:t xml:space="preserve">4.X.2 </w:t>
      </w:r>
      <w:r>
        <w:rPr>
          <w:rStyle w:val="19"/>
          <w:rFonts w:ascii="宋体" w:hAnsi="宋体"/>
          <w:lang/>
        </w:rPr>
        <w:t>CSCI部件设计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71D67D5D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"_Toc58519194"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4.X.3</w:t>
      </w:r>
      <w:r>
        <w:rPr>
          <w:rStyle w:val="19"/>
          <w:rFonts w:ascii="宋体" w:hAnsi="宋体"/>
          <w:lang/>
        </w:rPr>
        <w:t>执行方案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C267A7A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"_Toc58519195"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4.X.4接口设计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B43B682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"_Toc58519196"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5</w:t>
      </w:r>
      <w:r>
        <w:rPr>
          <w:rStyle w:val="19"/>
          <w:kern w:val="32"/>
          <w:lang/>
        </w:rPr>
        <w:t xml:space="preserve"> 需求可追踪性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_Toc58519196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CB9866A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 w:dirty="true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"_Toc58519197"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6</w:t>
      </w:r>
      <w:r>
        <w:rPr>
          <w:rStyle w:val="19"/>
          <w:kern w:val="32"/>
          <w:lang/>
        </w:rPr>
        <w:t xml:space="preserve"> 注释</w:t>
      </w:r>
      <w:r>
        <w:rPr>
          <w:lang/>
        </w:rPr>
        <w:tab/>
      </w:r>
      <w:r>
        <w:rPr>
          <w:lang/>
        </w:rPr>
        <w:fldChar w:fldCharType="begin" w:dirty="true"/>
      </w:r>
      <w:r>
        <w:rPr>
          <w:lang/>
        </w:rPr>
        <w:instrText xml:space="preserve"> PAGEREF _Toc58519197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485AD204">
      <w:r>
        <w:rPr>
          <w:b/>
          <w:bCs/>
          <w:lang w:val="zh-CN"/>
        </w:rPr>
        <w:fldChar w:fldCharType="end"/>
      </w:r>
    </w:p>
    <w:p w14:paraId="020DEAAA">
      <w:pPr>
        <w:pStyle w:val="24"/>
        <w:rPr>
          <w:rFonts w:hint="eastAsia"/>
        </w:rPr>
      </w:pPr>
    </w:p>
    <w:p w14:paraId="569E457F">
      <w:pPr>
        <w:pStyle w:val="24"/>
        <w:rPr>
          <w:rFonts w:hint="eastAsia"/>
        </w:rPr>
      </w:pPr>
    </w:p>
    <w:p w14:paraId="08514451">
      <w:pPr>
        <w:pStyle w:val="24"/>
        <w:rPr>
          <w:rFonts w:hint="eastAsia"/>
        </w:rPr>
      </w:pPr>
    </w:p>
    <w:p w14:paraId="17826EBD">
      <w:pPr>
        <w:pStyle w:val="24"/>
        <w:rPr>
          <w:rFonts w:hint="eastAsia"/>
        </w:rPr>
      </w:pPr>
    </w:p>
    <w:p w14:paraId="4CCA5505">
      <w:pPr>
        <w:pStyle w:val="24"/>
        <w:rPr>
          <w:rFonts w:hint="eastAsia"/>
        </w:rPr>
      </w:pPr>
    </w:p>
    <w:p w14:paraId="1EEFFFA6">
      <w:pPr>
        <w:pStyle w:val="24"/>
        <w:rPr>
          <w:rFonts w:hint="eastAsia"/>
        </w:rPr>
      </w:pPr>
    </w:p>
    <w:p w14:paraId="1DF3CC10">
      <w:pPr>
        <w:pStyle w:val="24"/>
        <w:rPr>
          <w:rFonts w:hint="eastAsia"/>
        </w:rPr>
      </w:pPr>
    </w:p>
    <w:p w14:paraId="36CAD039">
      <w:pPr>
        <w:pStyle w:val="24"/>
        <w:rPr>
          <w:rFonts w:hint="eastAsia"/>
        </w:rPr>
      </w:pPr>
    </w:p>
    <w:p w14:paraId="5168A216">
      <w:pPr>
        <w:pStyle w:val="24"/>
        <w:rPr>
          <w:rFonts w:hint="eastAsia"/>
        </w:rPr>
      </w:pPr>
    </w:p>
    <w:p w14:paraId="15ABA43B">
      <w:pPr>
        <w:pStyle w:val="24"/>
        <w:rPr>
          <w:rFonts w:hint="eastAsia"/>
        </w:rPr>
      </w:pPr>
    </w:p>
    <w:p w14:paraId="1000D852">
      <w:pPr>
        <w:pStyle w:val="24"/>
        <w:rPr>
          <w:rFonts w:hint="eastAsia"/>
        </w:rPr>
      </w:pPr>
    </w:p>
    <w:p w14:paraId="565C96D3">
      <w:pPr>
        <w:pStyle w:val="24"/>
        <w:rPr>
          <w:rFonts w:hint="eastAsia"/>
        </w:rPr>
      </w:pPr>
    </w:p>
    <w:p w14:paraId="60AA3B12">
      <w:pPr>
        <w:pStyle w:val="24"/>
        <w:rPr>
          <w:rFonts w:hint="eastAsia"/>
        </w:rPr>
      </w:pPr>
    </w:p>
    <w:p w14:paraId="3058FDE4">
      <w:pPr>
        <w:pStyle w:val="24"/>
        <w:rPr>
          <w:rFonts w:hint="eastAsia"/>
        </w:rPr>
      </w:pPr>
    </w:p>
    <w:p w14:paraId="6157BD9B">
      <w:pPr>
        <w:pStyle w:val="24"/>
        <w:rPr>
          <w:rFonts w:hint="eastAsia"/>
        </w:rPr>
      </w:pPr>
    </w:p>
    <w:p w14:paraId="48F012B2">
      <w:pPr>
        <w:pStyle w:val="24"/>
        <w:rPr>
          <w:rFonts w:hint="eastAsia"/>
        </w:rPr>
      </w:pPr>
    </w:p>
    <w:p w14:paraId="2045F128">
      <w:pPr>
        <w:pStyle w:val="24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53681571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0" w:name="_Toc58519184"/>
      <w:bookmarkStart w:id="1" w:name="_Toc169946500"/>
      <w:r>
        <w:rPr>
          <w:rFonts w:hint="eastAsia"/>
          <w:kern w:val="32"/>
          <w:sz w:val="24"/>
          <w:szCs w:val="24"/>
        </w:rPr>
        <w:t>范围</w:t>
      </w:r>
      <w:bookmarkEnd w:id="0"/>
      <w:bookmarkEnd w:id="1"/>
    </w:p>
    <w:p w14:paraId="4865FF05">
      <w:pPr>
        <w:pStyle w:val="28"/>
        <w:numPr>
          <w:ilvl w:val="1"/>
          <w:numId w:val="3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2" w:name="_Toc160961724"/>
      <w:bookmarkStart w:id="3" w:name="_Toc167868156"/>
      <w:bookmarkStart w:id="4" w:name="_Toc144870304"/>
      <w:bookmarkStart w:id="5" w:name="_Toc169946501"/>
      <w:bookmarkStart w:id="6" w:name="_Toc58519185"/>
      <w:r>
        <w:rPr>
          <w:rFonts w:ascii="宋体" w:hAnsi="宋体"/>
        </w:rPr>
        <w:t>标识</w:t>
      </w:r>
      <w:bookmarkEnd w:id="2"/>
      <w:bookmarkEnd w:id="3"/>
      <w:bookmarkEnd w:id="4"/>
      <w:bookmarkEnd w:id="5"/>
      <w:bookmarkEnd w:id="6"/>
    </w:p>
    <w:p w14:paraId="51DC9AB7">
      <w:pPr>
        <w:pStyle w:val="20"/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本文档适用于教学编译器系统，软件名称为编译器，缩写为 BYQ，文档标识号为 BYQ-SDD-V2.0，版本号为 V2.0。该软件由测试大学测试学院研制，用于课程实验和研究验证场景。</w:t>
      </w:r>
    </w:p>
    <w:p w14:paraId="7079D106">
      <w:pPr>
        <w:pStyle w:val="7"/>
        <w:numPr>
          <w:ilvl w:val="0"/>
          <w:numId w:val="4"/>
        </w:numPr>
        <w:spacing w:line="360" w:lineRule="auto"/>
        <w:rPr>
          <w:rFonts w:hint="eastAsia" w:ascii="Times New Roman"/>
          <w:szCs w:val="24"/>
        </w:rPr>
      </w:pPr>
      <w:r>
        <w:rPr>
          <w:rFonts w:hint="eastAsia" w:hAnsi="宋体" w:cs="宋体"/>
          <w:szCs w:val="24"/>
        </w:rPr>
        <w:t>文档标识号：BYQ-SDD-V2.0；</w:t>
      </w:r>
      <w:r>
        <w:rPr>
          <w:rFonts w:ascii="Times New Roman"/>
          <w:szCs w:val="24"/>
        </w:rPr>
      </w:r>
      <w:r>
        <w:rPr>
          <w:rFonts w:hint="eastAsia" w:ascii="Times New Roman"/>
          <w:szCs w:val="24"/>
        </w:rPr>
      </w:r>
      <w:r>
        <w:rPr>
          <w:rFonts w:hint="eastAsia"/>
          <w:szCs w:val="24"/>
        </w:rPr>
      </w:r>
      <w:r>
        <w:rPr>
          <w:rFonts w:ascii="Times New Roman"/>
          <w:szCs w:val="24"/>
        </w:rPr>
      </w:r>
    </w:p>
    <w:p w14:paraId="5BF2C32B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rFonts w:hint="eastAsia" w:ascii="Times New Roman"/>
          <w:szCs w:val="24"/>
        </w:rPr>
        <w:t>标题：软件概要设计说明；</w:t>
      </w:r>
      <w:r>
        <w:rPr>
          <w:rFonts w:hint="eastAsia"/>
          <w:szCs w:val="24"/>
        </w:rPr>
      </w:r>
    </w:p>
    <w:p w14:paraId="3D75193D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软件名称：编译器；</w:t>
      </w:r>
      <w:r>
        <w:rPr>
          <w:rFonts w:hint="eastAsia"/>
          <w:szCs w:val="24"/>
        </w:rPr>
      </w:r>
      <w:r>
        <w:rPr>
          <w:szCs w:val="24"/>
        </w:rPr>
      </w:r>
    </w:p>
    <w:p w14:paraId="0499DF88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软件缩写：BYQ；</w:t>
      </w:r>
      <w:r>
        <w:rPr>
          <w:szCs w:val="24"/>
        </w:rPr>
      </w:r>
      <w:r>
        <w:rPr>
          <w:rFonts w:hint="eastAsia"/>
          <w:szCs w:val="24"/>
        </w:rPr>
      </w:r>
      <w:r>
        <w:rPr>
          <w:szCs w:val="24"/>
        </w:rPr>
      </w:r>
    </w:p>
    <w:p w14:paraId="152B8E91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软件版本号：V2.0。</w:t>
      </w:r>
      <w:r>
        <w:rPr>
          <w:rFonts w:hint="eastAsia"/>
          <w:szCs w:val="24"/>
        </w:rPr>
      </w:r>
    </w:p>
    <w:p w14:paraId="0FD8D635">
      <w:pPr>
        <w:pStyle w:val="28"/>
        <w:numPr>
          <w:ilvl w:val="1"/>
          <w:numId w:val="3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7" w:name="_Toc58519186"/>
      <w:r>
        <w:rPr>
          <w:rFonts w:hint="eastAsia" w:ascii="宋体" w:hAnsi="宋体"/>
        </w:rPr>
        <w:t>系统概述</w:t>
      </w:r>
      <w:bookmarkEnd w:id="7"/>
    </w:p>
    <w:p w14:paraId="503A3CF3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本概要设计说明面向编译器系统的软件总体设计，描述系统在教学实验、编程语言研究和编译流程演示场景中的设计方案。系统运行于 Windows 与 Linux 环境，主要用户为教师、学生和研发维护人员。</w:t>
      </w:r>
    </w:p>
    <w:p w14:paraId="503A3CF3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系统采用分层模块化结构，覆盖源程序输入、前端分析、中间表示管理、目标代码生成和运行支撑等能力，便于后续详细设计和单元实现。</w:t>
      </w:r>
    </w:p>
    <w:p w14:paraId="32679646">
      <w:pPr>
        <w:pStyle w:val="28"/>
        <w:numPr>
          <w:ilvl w:val="1"/>
          <w:numId w:val="3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8" w:name="_Toc58519187"/>
      <w:r>
        <w:rPr>
          <w:rFonts w:hint="eastAsia" w:ascii="宋体" w:hAnsi="宋体"/>
        </w:rPr>
        <w:t>文裆概述</w:t>
      </w:r>
      <w:bookmarkEnd w:id="8"/>
    </w:p>
    <w:p w14:paraId="1FD96FAA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本文档给出编译器系统的软件概要设计，包括系统设计决策、体系结构设计、需求可追踪性和相关注释内容。本文档为后续详细设计、编码实现、测试策划和技术评审提供依据。</w:t>
      </w:r>
    </w:p>
    <w:p w14:paraId="1FD96FAA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文档密级为内部，仅用于项目组、教学管理人员和授权评审人员查阅。</w:t>
      </w:r>
    </w:p>
    <w:p w14:paraId="4B897F79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9" w:name="_Toc58519188"/>
      <w:r>
        <w:rPr>
          <w:rFonts w:hint="eastAsia"/>
          <w:kern w:val="32"/>
          <w:sz w:val="24"/>
          <w:szCs w:val="24"/>
        </w:rPr>
        <w:t>引用文档</w:t>
      </w:r>
      <w:bookmarkEnd w:id="9"/>
    </w:p>
    <w:p w14:paraId="3C5665F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本章列出概要设计说明编制所直接引用的标准、任务来源文档及相关支撑资料。</w:t>
      </w:r>
    </w:p>
    <w:p w14:paraId="6D19557B">
      <w:pPr>
        <w:spacing w:line="360" w:lineRule="auto"/>
        <w:jc w:val="center"/>
        <w:rPr>
          <w:rFonts w:hint="eastAsia" w:ascii="宋体"/>
          <w:sz w:val="24"/>
        </w:rPr>
      </w:pPr>
      <w:r>
        <w:rPr>
          <w:rFonts w:hint="eastAsia"/>
          <w:sz w:val="24"/>
        </w:rPr>
        <w:t>表2-1 引用文件</w:t>
      </w:r>
    </w:p>
    <w:tbl>
      <w:tblPr>
        <w:tblStyle w:val="14"/>
        <w:tblW w:w="892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060"/>
        <w:gridCol w:w="1980"/>
        <w:gridCol w:w="1440"/>
        <w:gridCol w:w="1980"/>
      </w:tblGrid>
      <w:tr w14:paraId="6C5FC4CE">
        <w:trPr>
          <w:wBefore w:w="0" w:type="dxa"/>
          <w:wAfter w:w="0" w:type="dxa"/>
        </w:trPr>
        <w:tc>
          <w:tcPr>
            <w:tcW w:w="46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CB52FD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序号</w:t>
            </w:r>
          </w:p>
        </w:tc>
        <w:tc>
          <w:tcPr>
            <w:tcW w:w="306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F6724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名称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0E8E78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版本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306E16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发布日期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4989FBA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来源</w:t>
            </w:r>
          </w:p>
        </w:tc>
      </w:tr>
      <w:tr w14:paraId="1F556765">
        <w:trPr>
          <w:wBefore w:w="0" w:type="dxa"/>
          <w:wAfter w:w="0" w:type="dxa"/>
        </w:trPr>
        <w:tc>
          <w:tcPr>
            <w:tcW w:w="4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33E006">
            <w:pPr>
              <w:pStyle w:val="30"/>
              <w:spacing w:line="360" w:lineRule="auto"/>
              <w:rPr>
                <w:kern w:val="3276"/>
              </w:rPr>
            </w:pPr>
            <w:r>
              <w:rPr>
                <w:rFonts w:hint="eastAsia"/>
                <w:kern w:val="3276"/>
              </w:rPr>
              <w:t>1</w:t>
            </w:r>
          </w:p>
        </w:tc>
        <w:tc>
          <w:tcPr>
            <w:tcW w:w="30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90562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  <w:r>
              <w:t>《GJB 438C 软件文档编制规范》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31431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  <w:r>
              <w:t>438C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2B82B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  <w:r>
              <w:t>2024-01-01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7B4F231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  <w:r>
              <w:t>相关标准库</w:t>
            </w:r>
          </w:p>
        </w:tc>
      </w:tr>
      <w:tr w14:paraId="172F6154">
        <w:trPr>
          <w:wBefore w:w="0" w:type="dxa"/>
          <w:wAfter w:w="0" w:type="dxa"/>
        </w:trPr>
        <w:tc>
          <w:tcPr>
            <w:tcW w:w="4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0AECB">
            <w:pPr>
              <w:pStyle w:val="30"/>
              <w:spacing w:line="360" w:lineRule="auto"/>
              <w:rPr>
                <w:rFonts w:hint="eastAsia"/>
                <w:kern w:val="3276"/>
              </w:rPr>
            </w:pPr>
            <w:r>
              <w:rPr>
                <w:rFonts w:hint="eastAsia"/>
                <w:kern w:val="3276"/>
              </w:rPr>
              <w:t>2</w:t>
            </w:r>
          </w:p>
        </w:tc>
        <w:tc>
          <w:tcPr>
            <w:tcW w:w="30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F2524E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  <w:r>
              <w:t>《编译器系统软件需求规格说明》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3D5B3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  <w:r>
              <w:t>V2.0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8A0EC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  <w:r>
              <w:t>2026-04-20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5F0CA85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  <w:r>
              <w:t>项目组</w:t>
            </w:r>
          </w:p>
        </w:tc>
      </w:tr>
    </w:tbl>
    <w:p w14:paraId="3C47F235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0" w:name="_Toc58519189"/>
      <w:r>
        <w:rPr>
          <w:rFonts w:hint="eastAsia"/>
          <w:kern w:val="32"/>
          <w:sz w:val="24"/>
          <w:szCs w:val="24"/>
        </w:rPr>
        <w:t>系统设计决策</w:t>
      </w:r>
      <w:bookmarkEnd w:id="10"/>
    </w:p>
    <w:p w14:paraId="57FAC620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系统设计采用分层处理与管线化执行相结合的总体方案：前端负责源程序分析与中间表示构建，后端负责目标代码生成和结果输出，公共支撑层负责配置、日志、错误处理和文件管理。</w:t>
      </w:r>
    </w:p>
    <w:p w14:paraId="57FAC620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针对可维护性与教学可读性要求，系统优先采用模块解耦、数据结构统一、接口显式定义和错误集中处理的设计决策。对关键处理路径中的性能要求，通过中间表示缓存、统一符号表和阶段化处理机制进行保障。</w:t>
      </w:r>
    </w:p>
    <w:p w14:paraId="59FDFA67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a)关于系统将接收的输入和将产生的输出的设计决策，包括与其他系统、HWCI、CSCI和用户的接口。如果这一信息的全部或部分己在接口设计说明（IDD)中给出，则可以直接引用。</w:t>
      </w:r>
    </w:p>
    <w:p w14:paraId="36DFD799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b)有关响应每个输入或条件的系统行为的设计决策，包括系统要执行的动作、响应时间和其他性能特性，模型化的物理系统的说明，选定的方程式/算法/规则，以及对不允许的输入或条件进行的处理。</w:t>
      </w:r>
    </w:p>
    <w:p w14:paraId="4B9121F3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c)有关数据库/数据文件如何呈现给用户的设计决策。如果这一信息的全部或部分在数据库设计说明(DBDD)中给出，则可直接引用。</w:t>
      </w:r>
    </w:p>
    <w:p w14:paraId="48C0A975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d)为满足安全性和保密性需求所选择的方法。</w:t>
      </w:r>
    </w:p>
    <w:p w14:paraId="13AE998F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e)为满足需求所做的其他系统设计决策，例如为提供所需的灵活性、可用性和可维护性所选择的方法。</w:t>
      </w:r>
    </w:p>
    <w:p w14:paraId="740B55C2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1" w:name="_Toc58519190"/>
      <w:r>
        <w:rPr>
          <w:rFonts w:hint="eastAsia"/>
          <w:kern w:val="32"/>
          <w:sz w:val="24"/>
          <w:szCs w:val="24"/>
        </w:rPr>
        <w:t>系统体系结构设计</w:t>
      </w:r>
      <w:bookmarkEnd w:id="11"/>
    </w:p>
    <w:p w14:paraId="3DB5387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系统体系结构采用“控制调度 + 编译处理”两类 CSCI 划分方式，通过统一的数据模型和接口契约组织各软件部件，确保后续详细设计可独立展开。</w:t>
      </w:r>
    </w:p>
    <w:p w14:paraId="342EFA3D">
      <w:pPr>
        <w:pStyle w:val="28"/>
        <w:numPr>
          <w:ilvl w:val="0"/>
          <w:numId w:val="0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12" w:name="_Toc58519191"/>
      <w:r>
        <w:rPr>
          <w:rFonts w:hint="eastAsia" w:ascii="宋体" w:hAnsi="宋体"/>
        </w:rPr>
        <w:t>4.1 编译控制 CSCI</w:t>
      </w:r>
      <w:bookmarkEnd w:id="12"/>
    </w:p>
    <w:p w14:paraId="6E0A7053">
      <w:pPr>
        <w:pStyle w:val="4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bookmarkStart w:id="13" w:name="_Toc58519192"/>
      <w:r>
        <w:rPr>
          <w:rFonts w:hint="eastAsia"/>
          <w:sz w:val="24"/>
          <w:szCs w:val="24"/>
        </w:rPr>
        <w:t>4.1.1 CSCI概述</w:t>
      </w:r>
      <w:r>
        <w:rPr>
          <w:rFonts w:hint="eastAsia" w:ascii="宋体" w:hAnsi="宋体"/>
          <w:b w:val="0"/>
          <w:sz w:val="24"/>
          <w:szCs w:val="24"/>
        </w:rPr>
      </w:r>
      <w:bookmarkEnd w:id="13"/>
    </w:p>
    <w:p w14:paraId="7932155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编译控制 CSCI 负责接收用户输入、装配编译流程、组织任务执行并输出总体处理结果。该 CSCI 为系统提供统一入口，协调各处理阶段的执行顺序和异常收敛逻辑。</w:t>
      </w:r>
    </w:p>
    <w:p w14:paraId="1A27CAD1">
      <w:pPr>
        <w:pStyle w:val="4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bookmarkStart w:id="14" w:name="_Toc58519193"/>
      <w:r>
        <w:rPr>
          <w:rFonts w:hint="eastAsia"/>
          <w:sz w:val="24"/>
          <w:szCs w:val="24"/>
        </w:rPr>
        <w:t>4.1.2 CSCI部件设计</w:t>
      </w:r>
      <w:r>
        <w:rPr>
          <w:rFonts w:hint="eastAsia" w:ascii="宋体" w:hAnsi="宋体"/>
          <w:b w:val="0"/>
          <w:sz w:val="24"/>
          <w:szCs w:val="24"/>
        </w:rPr>
      </w:r>
      <w:bookmarkEnd w:id="14"/>
    </w:p>
    <w:p w14:paraId="5E2377EB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4.1.2.1 流程控制部件</w:t>
      </w:r>
      <w:r>
        <w:rPr>
          <w:rFonts w:hint="eastAsia" w:ascii="宋体" w:hAnsi="宋体" w:eastAsia="宋体"/>
          <w:b w:val="0"/>
          <w:sz w:val="24"/>
          <w:szCs w:val="24"/>
        </w:rPr>
      </w:r>
    </w:p>
    <w:p w14:paraId="7932155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流程控制部件、配置管理部件和日志诊断部件共同构成编译控制 CSCI。流程控制部件负责任务编排和阶段切换，配置管理部件负责读取编译选项和运行参数，日志诊断部件负责记录执行轨迹、错误信息和调试上下文。</w:t>
      </w:r>
    </w:p>
    <w:p w14:paraId="12FF4F57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宋体" w:hAnsi="宋体"/>
          <w:b w:val="0"/>
          <w:sz w:val="24"/>
          <w:szCs w:val="24"/>
        </w:rPr>
      </w:pPr>
      <w:bookmarkStart w:id="15" w:name="_Toc58519194"/>
      <w:r>
        <w:rPr>
          <w:rFonts w:hint="eastAsia" w:ascii="黑体" w:hAnsi="宋体"/>
          <w:sz w:val="24"/>
          <w:szCs w:val="24"/>
        </w:rPr>
        <w:t>4.1.3执行方案</w:t>
      </w:r>
      <w:r>
        <w:rPr>
          <w:rFonts w:hint="eastAsia" w:ascii="宋体" w:hAnsi="宋体"/>
          <w:b w:val="0"/>
          <w:sz w:val="24"/>
          <w:szCs w:val="24"/>
        </w:rPr>
      </w:r>
      <w:bookmarkEnd w:id="15"/>
    </w:p>
    <w:p w14:paraId="1AD19E77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编译控制 CSCI 按“初始化配置 -&gt; 装载源文件 -&gt; 依次调用前端分析与后端生成模块 -&gt; 汇总输出结果”的顺序执行。各阶段之间通过共享任务上下文和状态码传递控制信息，异常路径统一进入错误处理与清理流程。</w:t>
      </w:r>
    </w:p>
    <w:p w14:paraId="1C8306D9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黑体" w:hAnsi="宋体"/>
          <w:sz w:val="24"/>
          <w:szCs w:val="24"/>
        </w:rPr>
      </w:pPr>
      <w:bookmarkStart w:id="16" w:name="_Toc58519195"/>
      <w:r>
        <w:rPr>
          <w:rFonts w:hint="eastAsia" w:ascii="黑体" w:hAnsi="宋体"/>
          <w:sz w:val="24"/>
          <w:szCs w:val="24"/>
        </w:rPr>
        <w:t>4.1.4接口设计</w:t>
      </w:r>
      <w:r>
        <w:rPr>
          <w:rFonts w:hint="eastAsia" w:ascii="黑体" w:hAnsi="宋体"/>
          <w:b w:val="0"/>
          <w:sz w:val="24"/>
          <w:szCs w:val="24"/>
        </w:rPr>
      </w:r>
      <w:bookmarkEnd w:id="16"/>
    </w:p>
    <w:p w14:paraId="7A56D6F8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该 CSCI 对外提供命令行调用接口和结果输出接口，对内与词法分析、语法分析、语义分析和代码生成 CSCI 保持顺序调用关系。</w:t>
      </w:r>
    </w:p>
    <w:p w14:paraId="59E4DF00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4.1.4.1接口标识和接口图</w:t>
      </w:r>
      <w:r>
        <w:rPr>
          <w:rFonts w:hint="eastAsia" w:ascii="Times New Roman" w:hAnsi="Times New Roman"/>
          <w:b w:val="0"/>
          <w:sz w:val="24"/>
          <w:szCs w:val="24"/>
        </w:rPr>
      </w:r>
    </w:p>
    <w:p w14:paraId="7A56D6F8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接口标识以“IF-CTRL-*”规则统一命名，区分启动控制接口、配置读取接口、编译阶段调度接口和结果回传接口。接口图以调用链方式描述控制 CSCI 与其他 CSCI 的依赖关系。</w:t>
      </w:r>
    </w:p>
    <w:p w14:paraId="55A224C0">
      <w:pPr>
        <w:pStyle w:val="6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4.1.4.1.1 编译控制接口</w:t>
      </w:r>
      <w:r>
        <w:rPr>
          <w:rFonts w:hint="eastAsia"/>
          <w:b w:val="0"/>
          <w:sz w:val="24"/>
          <w:szCs w:val="24"/>
        </w:rPr>
      </w:r>
    </w:p>
    <w:p w14:paraId="43CC5EB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编译控制接口接收源文件路径、目标输出路径、编译选项和调试开关等输入参数；输出内容包括编译状态、错误列表、诊断日志和目标文件位置。接口采用本地函数调用与统一上下文对象传递方式实现，不依赖网络协议。</w:t>
      </w:r>
    </w:p>
    <w:p w14:paraId="342EFA3D">
      <w:pPr>
        <w:pStyle w:val="28"/>
        <w:numPr>
          <w:ilvl w:val="0"/>
          <w:numId w:val="0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12" w:name="_Toc58519191"/>
      <w:r>
        <w:rPr>
          <w:rFonts w:hint="eastAsia" w:ascii="宋体" w:hAnsi="宋体"/>
        </w:rPr>
        <w:t>4.2 编译处理 CSCI</w:t>
      </w:r>
      <w:bookmarkEnd w:id="12"/>
    </w:p>
    <w:p w14:paraId="6E0A7053">
      <w:pPr>
        <w:pStyle w:val="4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bookmarkStart w:id="13" w:name="_Toc58519192"/>
      <w:r>
        <w:rPr>
          <w:rFonts w:hint="eastAsia"/>
          <w:sz w:val="24"/>
          <w:szCs w:val="24"/>
        </w:rPr>
        <w:t>4.2.1 CSCI概述</w:t>
      </w:r>
      <w:r>
        <w:rPr>
          <w:rFonts w:hint="eastAsia" w:ascii="宋体" w:hAnsi="宋体"/>
          <w:b w:val="0"/>
          <w:sz w:val="24"/>
          <w:szCs w:val="24"/>
        </w:rPr>
      </w:r>
      <w:bookmarkEnd w:id="13"/>
    </w:p>
    <w:p w14:paraId="7932155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编译处理 CSCI 负责完成源程序的词法分析、语法分析、语义检查、中间表示构建和目标代码生成，是系统的核心处理单元。</w:t>
      </w:r>
    </w:p>
    <w:p w14:paraId="1A27CAD1">
      <w:pPr>
        <w:pStyle w:val="4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bookmarkStart w:id="14" w:name="_Toc58519193"/>
      <w:r>
        <w:rPr>
          <w:rFonts w:hint="eastAsia"/>
          <w:sz w:val="24"/>
          <w:szCs w:val="24"/>
        </w:rPr>
        <w:t>4.2.2 CSCI部件设计</w:t>
      </w:r>
      <w:r>
        <w:rPr>
          <w:rFonts w:hint="eastAsia" w:ascii="宋体" w:hAnsi="宋体"/>
          <w:b w:val="0"/>
          <w:sz w:val="24"/>
          <w:szCs w:val="24"/>
        </w:rPr>
      </w:r>
      <w:bookmarkEnd w:id="14"/>
    </w:p>
    <w:p w14:paraId="5E2377EB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4.2.2.1 分析生成部件</w:t>
      </w:r>
      <w:r>
        <w:rPr>
          <w:rFonts w:hint="eastAsia" w:ascii="宋体" w:hAnsi="宋体" w:eastAsia="宋体"/>
          <w:b w:val="0"/>
          <w:sz w:val="24"/>
          <w:szCs w:val="24"/>
        </w:rPr>
      </w:r>
    </w:p>
    <w:p w14:paraId="7932155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分析生成部件由词法分析子部件、语法分析子部件、语义分析子部件、中间代码管理子部件和目标代码生成子部件组成。各子部件围绕统一的抽象语法树和符号表数据结构协同工作，确保数据流在各阶段中可追踪、可验证。</w:t>
      </w:r>
    </w:p>
    <w:p w14:paraId="12FF4F57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宋体" w:hAnsi="宋体"/>
          <w:b w:val="0"/>
          <w:sz w:val="24"/>
          <w:szCs w:val="24"/>
        </w:rPr>
      </w:pPr>
      <w:bookmarkStart w:id="15" w:name="_Toc58519194"/>
      <w:r>
        <w:rPr>
          <w:rFonts w:hint="eastAsia" w:ascii="黑体" w:hAnsi="宋体"/>
          <w:sz w:val="24"/>
          <w:szCs w:val="24"/>
        </w:rPr>
        <w:t>4.2.3执行方案</w:t>
      </w:r>
      <w:r>
        <w:rPr>
          <w:rFonts w:hint="eastAsia" w:ascii="宋体" w:hAnsi="宋体"/>
          <w:b w:val="0"/>
          <w:sz w:val="24"/>
          <w:szCs w:val="24"/>
        </w:rPr>
      </w:r>
      <w:bookmarkEnd w:id="15"/>
    </w:p>
    <w:p w14:paraId="1AD19E77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编译处理 CSCI 采用顺序管线方式执行：先生成记号流，再构造抽象语法树，随后进行语义约束检查与中间表示生成，最后完成目标代码生成与优化输出。若任一阶段发现阻断性错误，则停止后续处理并向控制 CSCI 返回失败状态。</w:t>
      </w:r>
    </w:p>
    <w:p w14:paraId="1C8306D9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黑体" w:hAnsi="宋体"/>
          <w:sz w:val="24"/>
          <w:szCs w:val="24"/>
        </w:rPr>
      </w:pPr>
      <w:bookmarkStart w:id="16" w:name="_Toc58519195"/>
      <w:r>
        <w:rPr>
          <w:rFonts w:hint="eastAsia" w:ascii="黑体" w:hAnsi="宋体"/>
          <w:sz w:val="24"/>
          <w:szCs w:val="24"/>
        </w:rPr>
        <w:t>4.2.4接口设计</w:t>
      </w:r>
      <w:r>
        <w:rPr>
          <w:rFonts w:hint="eastAsia" w:ascii="黑体" w:hAnsi="宋体"/>
          <w:b w:val="0"/>
          <w:sz w:val="24"/>
          <w:szCs w:val="24"/>
        </w:rPr>
      </w:r>
      <w:bookmarkEnd w:id="16"/>
    </w:p>
    <w:p w14:paraId="7A56D6F8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该 CSCI 向上接收控制 CSCI 下发的编译任务，向下输出中间表示、错误清单和目标文件，并与公共符号表、文件管理和日志能力共享内部接口。</w:t>
      </w:r>
    </w:p>
    <w:p w14:paraId="59E4DF00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4.2.4.1接口标识和接口图</w:t>
      </w:r>
      <w:r>
        <w:rPr>
          <w:rFonts w:hint="eastAsia" w:ascii="Times New Roman" w:hAnsi="Times New Roman"/>
          <w:b w:val="0"/>
          <w:sz w:val="24"/>
          <w:szCs w:val="24"/>
        </w:rPr>
      </w:r>
    </w:p>
    <w:p w14:paraId="7A56D6F8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接口标识以“IF-COMP-*”规则命名，包括词法输入接口、语法树输出接口、语义检查结果接口和目标代码输出接口。各接口通过统一数据对象描述输入输出格式和错误码约定。</w:t>
      </w:r>
    </w:p>
    <w:p w14:paraId="55A224C0">
      <w:pPr>
        <w:pStyle w:val="6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4.2.4.1.1 编译处理接口</w:t>
      </w:r>
      <w:r>
        <w:rPr>
          <w:rFonts w:hint="eastAsia"/>
          <w:b w:val="0"/>
          <w:sz w:val="24"/>
          <w:szCs w:val="24"/>
        </w:rPr>
      </w:r>
    </w:p>
    <w:p w14:paraId="43CC5EB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编译处理接口输入为标准化源文本、编译上下文和语义约束参数；输出为记号流、抽象语法树、中间代码、目标代码文件以及错误诊断集合。接口调用采用同步方式，要求调用方按照既定阶段顺序触发，并保证输入数据编码和上下文配置完整。</w:t>
      </w:r>
    </w:p>
    <w:p w14:paraId="61175D08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7" w:name="_Toc58519196"/>
      <w:r>
        <w:rPr>
          <w:rFonts w:hint="eastAsia"/>
          <w:kern w:val="32"/>
          <w:sz w:val="24"/>
          <w:szCs w:val="24"/>
        </w:rPr>
        <w:t>需求可追踪性</w:t>
      </w:r>
      <w:bookmarkEnd w:id="17"/>
    </w:p>
    <w:p w14:paraId="14AD8B8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本章建立软件需求与概要设计单元之间的双向追踪关系，支持从需求到设计、从设计回溯需求的核查分析。</w:t>
      </w:r>
    </w:p>
    <w:p w14:paraId="1710D54A">
      <w:pPr>
        <w:spacing w:line="360" w:lineRule="auto"/>
        <w:ind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a)从本SDD所标识的每个软件单元，到分配给它的CSCI需求的可追踪性。</w:t>
      </w:r>
    </w:p>
    <w:p w14:paraId="2534BF92">
      <w:pPr>
        <w:spacing w:line="360" w:lineRule="auto"/>
        <w:ind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b)从每个CSCI需求，到被分配这些需求的软件单元的可追踪性。</w:t>
      </w:r>
    </w:p>
    <w:p w14:paraId="7A4A6F57">
      <w:pPr>
        <w:pStyle w:val="31"/>
        <w:spacing w:before="62" w:after="62"/>
      </w:pPr>
      <w:r>
        <w:rPr>
          <w:rFonts w:hint="eastAsia"/>
        </w:rPr>
        <w:t>表5-1 需求的正向追踪性</w:t>
      </w:r>
      <w:r/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4"/>
        <w:gridCol w:w="1225"/>
        <w:gridCol w:w="2964"/>
        <w:gridCol w:w="1519"/>
      </w:tblGrid>
      <w:tr w14:paraId="11A18558">
        <w:trPr>
          <w:wBefore w:w="0" w:type="dxa"/>
          <w:wAfter w:w="0" w:type="dxa"/>
          <w:cantSplit/>
          <w:tblHeader/>
          <w:jc w:val="center"/>
        </w:trPr>
        <w:tc>
          <w:tcPr>
            <w:tcW w:w="2370" w:type="pct"/>
            <w:gridSpan w:val="2"/>
            <w:noWrap w:val="0"/>
            <w:vAlign w:val="center"/>
          </w:tcPr>
          <w:p w14:paraId="48D98289">
            <w:pPr>
              <w:pStyle w:val="33"/>
              <w:rPr>
                <w:lang/>
              </w:rPr>
            </w:pPr>
            <w:r>
              <w:t>软件需求</w:t>
            </w:r>
          </w:p>
        </w:tc>
        <w:tc>
          <w:tcPr>
            <w:tcW w:w="2630" w:type="pct"/>
            <w:gridSpan w:val="2"/>
            <w:noWrap w:val="0"/>
            <w:vAlign w:val="center"/>
          </w:tcPr>
          <w:p w14:paraId="283F2AE4">
            <w:pPr>
              <w:pStyle w:val="33"/>
              <w:rPr>
                <w:lang/>
              </w:rPr>
            </w:pPr>
            <w:r>
              <w:t>软件单元</w:t>
            </w:r>
          </w:p>
        </w:tc>
      </w:tr>
      <w:tr w14:paraId="7932CC5D">
        <w:trPr>
          <w:wBefore w:w="0" w:type="dxa"/>
          <w:wAfter w:w="0" w:type="dxa"/>
          <w:cantSplit/>
          <w:tblHeader/>
          <w:jc w:val="center"/>
        </w:trPr>
        <w:tc>
          <w:tcPr>
            <w:tcW w:w="1651" w:type="pct"/>
            <w:noWrap w:val="0"/>
            <w:vAlign w:val="center"/>
          </w:tcPr>
          <w:p w14:paraId="3D4C0F2C">
            <w:pPr>
              <w:pStyle w:val="33"/>
              <w:rPr>
                <w:rFonts w:ascii="Times New Roman"/>
              </w:rPr>
            </w:pPr>
            <w:r>
              <w:rPr>
                <w:rFonts w:ascii="Times New Roman"/>
              </w:rPr>
              <w:t>名称/标识</w:t>
            </w:r>
          </w:p>
        </w:tc>
        <w:tc>
          <w:tcPr>
            <w:tcW w:w="719" w:type="pct"/>
            <w:noWrap w:val="0"/>
            <w:vAlign w:val="center"/>
          </w:tcPr>
          <w:p w14:paraId="48E464E0">
            <w:pPr>
              <w:pStyle w:val="33"/>
            </w:pPr>
            <w:r>
              <w:t>软件需求规格说明的章节号</w:t>
            </w:r>
          </w:p>
        </w:tc>
        <w:tc>
          <w:tcPr>
            <w:tcW w:w="1739" w:type="pct"/>
            <w:noWrap w:val="0"/>
            <w:vAlign w:val="center"/>
          </w:tcPr>
          <w:p w14:paraId="41D86848">
            <w:pPr>
              <w:pStyle w:val="33"/>
            </w:pPr>
            <w:r>
              <w:t>名称/标识</w:t>
            </w:r>
          </w:p>
        </w:tc>
        <w:tc>
          <w:tcPr>
            <w:tcW w:w="891" w:type="pct"/>
            <w:noWrap w:val="0"/>
            <w:vAlign w:val="center"/>
          </w:tcPr>
          <w:p w14:paraId="695467B5">
            <w:pPr>
              <w:pStyle w:val="33"/>
            </w:pPr>
            <w:r>
              <w:t>本文档的章节号</w:t>
            </w:r>
          </w:p>
        </w:tc>
      </w:tr>
      <w:tr w14:paraId="1FAC5ECC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restart"/>
            <w:noWrap w:val="0"/>
            <w:vAlign w:val="center"/>
          </w:tcPr>
          <w:p w14:paraId="2F37D438">
            <w:pPr>
              <w:pStyle w:val="34"/>
            </w:pPr>
            <w:r>
              <w:rPr>
                <w:rFonts w:hint="eastAsia"/>
              </w:rPr>
              <w:t>词法分析功能需求</w:t>
            </w:r>
          </w:p>
        </w:tc>
        <w:tc>
          <w:tcPr>
            <w:tcW w:w="719" w:type="pct"/>
            <w:vMerge w:val="restart"/>
            <w:noWrap w:val="0"/>
            <w:vAlign w:val="center"/>
          </w:tcPr>
          <w:p w14:paraId="5F77734C">
            <w:pPr>
              <w:pStyle w:val="34"/>
            </w:pPr>
            <w:r>
              <w:t>3.2.1</w:t>
            </w:r>
          </w:p>
        </w:tc>
        <w:tc>
          <w:tcPr>
            <w:tcW w:w="1739" w:type="pct"/>
            <w:noWrap w:val="0"/>
            <w:vAlign w:val="center"/>
          </w:tcPr>
          <w:p w14:paraId="3CD6C733">
            <w:pPr>
              <w:pStyle w:val="34"/>
            </w:pPr>
            <w:r>
              <w:t>编译处理 CSCI</w:t>
            </w:r>
          </w:p>
        </w:tc>
        <w:tc>
          <w:tcPr>
            <w:tcW w:w="891" w:type="pct"/>
            <w:noWrap w:val="0"/>
            <w:vAlign w:val="center"/>
          </w:tcPr>
          <w:p w14:paraId="6428A1F1">
            <w:pPr>
              <w:pStyle w:val="34"/>
              <w:rPr>
                <w:lang/>
              </w:rPr>
            </w:pPr>
            <w:r>
              <w:t>4.2</w:t>
            </w:r>
          </w:p>
        </w:tc>
      </w:tr>
      <w:tr w14:paraId="239556D4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continue"/>
            <w:noWrap w:val="0"/>
            <w:vAlign w:val="center"/>
          </w:tcPr>
          <w:p w14:paraId="39AAE0C6">
            <w:pPr>
              <w:pStyle w:val="34"/>
            </w:pPr>
            <w:r>
              <w:t>统一调度控制需求</w:t>
            </w:r>
          </w:p>
        </w:tc>
        <w:tc>
          <w:tcPr>
            <w:tcW w:w="719" w:type="pct"/>
            <w:vMerge w:val="continue"/>
            <w:noWrap w:val="0"/>
            <w:vAlign w:val="center"/>
          </w:tcPr>
          <w:p w14:paraId="45B87047">
            <w:pPr>
              <w:pStyle w:val="34"/>
            </w:pPr>
            <w:r>
              <w:t>3.2.2</w:t>
            </w:r>
          </w:p>
        </w:tc>
        <w:tc>
          <w:tcPr>
            <w:tcW w:w="1739" w:type="pct"/>
            <w:noWrap w:val="0"/>
            <w:vAlign w:val="center"/>
          </w:tcPr>
          <w:p w14:paraId="0BFB543E">
            <w:pPr>
              <w:pStyle w:val="34"/>
            </w:pPr>
            <w:r>
              <w:t>编译控制 CSCI</w:t>
            </w:r>
          </w:p>
        </w:tc>
        <w:tc>
          <w:tcPr>
            <w:tcW w:w="891" w:type="pct"/>
            <w:noWrap w:val="0"/>
            <w:vAlign w:val="center"/>
          </w:tcPr>
          <w:p w14:paraId="09978ACE">
            <w:pPr>
              <w:pStyle w:val="34"/>
            </w:pPr>
            <w:r>
              <w:t>4.1</w:t>
            </w:r>
          </w:p>
        </w:tc>
      </w:tr>
      <w:tr w14:paraId="499BD563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continue"/>
            <w:noWrap w:val="0"/>
            <w:vAlign w:val="center"/>
          </w:tcPr>
          <w:p w14:paraId="7E315CF4">
            <w:pPr>
              <w:pStyle w:val="34"/>
            </w:pPr>
            <w:r/>
          </w:p>
        </w:tc>
        <w:tc>
          <w:tcPr>
            <w:tcW w:w="719" w:type="pct"/>
            <w:vMerge w:val="continue"/>
            <w:noWrap w:val="0"/>
            <w:vAlign w:val="center"/>
          </w:tcPr>
          <w:p w14:paraId="577C9D2B">
            <w:pPr>
              <w:pStyle w:val="34"/>
            </w:pPr>
            <w:r/>
          </w:p>
        </w:tc>
        <w:tc>
          <w:tcPr>
            <w:tcW w:w="1739" w:type="pct"/>
            <w:noWrap w:val="0"/>
            <w:vAlign w:val="center"/>
          </w:tcPr>
          <w:p w14:paraId="56140CE3">
            <w:pPr>
              <w:pStyle w:val="34"/>
              <w:rPr>
                <w:lang/>
              </w:rPr>
            </w:pPr>
            <w:r/>
          </w:p>
        </w:tc>
        <w:tc>
          <w:tcPr>
            <w:tcW w:w="891" w:type="pct"/>
            <w:noWrap w:val="0"/>
            <w:vAlign w:val="center"/>
          </w:tcPr>
          <w:p w14:paraId="5D7296EA">
            <w:pPr>
              <w:pStyle w:val="34"/>
              <w:rPr>
                <w:lang/>
              </w:rPr>
            </w:pPr>
            <w:r/>
          </w:p>
        </w:tc>
      </w:tr>
      <w:tr w14:paraId="13BB3E2D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continue"/>
            <w:noWrap w:val="0"/>
            <w:vAlign w:val="center"/>
          </w:tcPr>
          <w:p w14:paraId="4B345920">
            <w:pPr>
              <w:pStyle w:val="34"/>
            </w:pPr>
            <w:r/>
          </w:p>
        </w:tc>
        <w:tc>
          <w:tcPr>
            <w:tcW w:w="719" w:type="pct"/>
            <w:vMerge w:val="continue"/>
            <w:noWrap w:val="0"/>
            <w:vAlign w:val="center"/>
          </w:tcPr>
          <w:p w14:paraId="5EB741A8">
            <w:pPr>
              <w:pStyle w:val="34"/>
            </w:pPr>
            <w:r/>
          </w:p>
        </w:tc>
        <w:tc>
          <w:tcPr>
            <w:tcW w:w="1739" w:type="pct"/>
            <w:noWrap w:val="0"/>
            <w:vAlign w:val="center"/>
          </w:tcPr>
          <w:p w14:paraId="7BDF0D16">
            <w:pPr>
              <w:pStyle w:val="34"/>
            </w:pPr>
            <w:r/>
          </w:p>
        </w:tc>
        <w:tc>
          <w:tcPr>
            <w:tcW w:w="891" w:type="pct"/>
            <w:noWrap w:val="0"/>
            <w:vAlign w:val="center"/>
          </w:tcPr>
          <w:p w14:paraId="7DE18F94">
            <w:pPr>
              <w:pStyle w:val="34"/>
              <w:rPr>
                <w:lang/>
              </w:rPr>
            </w:pPr>
            <w:r/>
          </w:p>
        </w:tc>
      </w:tr>
      <w:tr w14:paraId="607BAFEC">
        <w:trPr>
          <w:wBefore w:w="0" w:type="dxa"/>
          <w:wAfter w:w="0" w:type="dxa"/>
          <w:cantSplit/>
          <w:jc w:val="center"/>
        </w:trPr>
        <w:tc>
          <w:tcPr>
            <w:tcW w:w="1651" w:type="pct"/>
            <w:noWrap w:val="0"/>
            <w:vAlign w:val="center"/>
          </w:tcPr>
          <w:p w14:paraId="30F054C5">
            <w:pPr>
              <w:pStyle w:val="34"/>
            </w:pPr>
            <w:r/>
          </w:p>
        </w:tc>
        <w:tc>
          <w:tcPr>
            <w:tcW w:w="719" w:type="pct"/>
            <w:noWrap w:val="0"/>
            <w:vAlign w:val="center"/>
          </w:tcPr>
          <w:p w14:paraId="56EEF733">
            <w:pPr>
              <w:pStyle w:val="34"/>
            </w:pPr>
            <w:r/>
          </w:p>
        </w:tc>
        <w:tc>
          <w:tcPr>
            <w:tcW w:w="1739" w:type="pct"/>
            <w:noWrap w:val="0"/>
            <w:vAlign w:val="center"/>
          </w:tcPr>
          <w:p w14:paraId="7BAB842B">
            <w:pPr>
              <w:pStyle w:val="34"/>
            </w:pPr>
            <w:r/>
          </w:p>
        </w:tc>
        <w:tc>
          <w:tcPr>
            <w:tcW w:w="891" w:type="pct"/>
            <w:noWrap w:val="0"/>
            <w:vAlign w:val="center"/>
          </w:tcPr>
          <w:p w14:paraId="1D6F61FB">
            <w:pPr>
              <w:pStyle w:val="34"/>
            </w:pPr>
            <w:r/>
          </w:p>
        </w:tc>
      </w:tr>
    </w:tbl>
    <w:p w14:paraId="524BAD60">
      <w:pPr>
        <w:pStyle w:val="31"/>
        <w:spacing w:before="62" w:after="62"/>
        <w:rPr>
          <w:rFonts w:hint="eastAsia"/>
        </w:rPr>
      </w:pPr>
      <w:r>
        <w:rPr>
          <w:rFonts w:hint="eastAsia"/>
        </w:rPr>
        <w:t>表5-2 需求的逆向追踪性</w:t>
      </w:r>
      <w:r/>
      <w:r>
        <w:rPr>
          <w:rFonts w:hint="eastAsia"/>
        </w:rPr>
      </w:r>
      <w:r/>
    </w:p>
    <w:tbl>
      <w:tblPr>
        <w:tblStyle w:val="14"/>
        <w:tblW w:w="506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8"/>
        <w:gridCol w:w="1477"/>
        <w:gridCol w:w="2976"/>
        <w:gridCol w:w="1055"/>
      </w:tblGrid>
      <w:tr w14:paraId="4726182A">
        <w:trPr>
          <w:wBefore w:w="0" w:type="dxa"/>
          <w:wAfter w:w="0" w:type="dxa"/>
          <w:tblHeader/>
          <w:jc w:val="center"/>
        </w:trPr>
        <w:tc>
          <w:tcPr>
            <w:tcW w:w="2666" w:type="pct"/>
            <w:gridSpan w:val="2"/>
            <w:noWrap w:val="0"/>
            <w:vAlign w:val="center"/>
          </w:tcPr>
          <w:p w14:paraId="0AB966EC">
            <w:pPr>
              <w:pStyle w:val="33"/>
              <w:rPr>
                <w:lang/>
              </w:rPr>
            </w:pPr>
            <w:r>
              <w:t>软件单元</w:t>
            </w:r>
          </w:p>
        </w:tc>
        <w:tc>
          <w:tcPr>
            <w:tcW w:w="2334" w:type="pct"/>
            <w:gridSpan w:val="2"/>
            <w:noWrap w:val="0"/>
            <w:vAlign w:val="center"/>
          </w:tcPr>
          <w:p w14:paraId="75852059">
            <w:pPr>
              <w:pStyle w:val="33"/>
              <w:rPr>
                <w:lang/>
              </w:rPr>
            </w:pPr>
            <w:r>
              <w:t>软件需求</w:t>
            </w:r>
          </w:p>
        </w:tc>
      </w:tr>
      <w:tr w14:paraId="5F81E3B5">
        <w:trPr>
          <w:wBefore w:w="0" w:type="dxa"/>
          <w:wAfter w:w="0" w:type="dxa"/>
          <w:tblHeader/>
          <w:jc w:val="center"/>
        </w:trPr>
        <w:tc>
          <w:tcPr>
            <w:tcW w:w="1811" w:type="pct"/>
            <w:noWrap w:val="0"/>
            <w:vAlign w:val="center"/>
          </w:tcPr>
          <w:p w14:paraId="5CACC64D">
            <w:pPr>
              <w:pStyle w:val="33"/>
            </w:pPr>
            <w:r>
              <w:t>名称/标识</w:t>
            </w:r>
          </w:p>
        </w:tc>
        <w:tc>
          <w:tcPr>
            <w:tcW w:w="855" w:type="pct"/>
            <w:noWrap w:val="0"/>
            <w:vAlign w:val="center"/>
          </w:tcPr>
          <w:p w14:paraId="08D3F6C4">
            <w:pPr>
              <w:pStyle w:val="33"/>
            </w:pPr>
            <w:r>
              <w:t>名称/标识</w:t>
            </w:r>
          </w:p>
        </w:tc>
        <w:tc>
          <w:tcPr>
            <w:tcW w:w="1723" w:type="pct"/>
            <w:noWrap w:val="0"/>
            <w:vAlign w:val="center"/>
          </w:tcPr>
          <w:p w14:paraId="53D0BE3D">
            <w:pPr>
              <w:pStyle w:val="33"/>
            </w:pPr>
            <w:r>
              <w:t>名称/标识</w:t>
            </w:r>
          </w:p>
        </w:tc>
        <w:tc>
          <w:tcPr>
            <w:tcW w:w="611" w:type="pct"/>
            <w:noWrap w:val="0"/>
            <w:vAlign w:val="center"/>
          </w:tcPr>
          <w:p w14:paraId="74A541C8">
            <w:pPr>
              <w:pStyle w:val="33"/>
            </w:pPr>
            <w:r>
              <w:t>本文档的章节号</w:t>
            </w:r>
          </w:p>
        </w:tc>
      </w:tr>
      <w:tr w14:paraId="4500BF8C">
        <w:trPr>
          <w:wBefore w:w="0" w:type="dxa"/>
          <w:wAfter w:w="0" w:type="dxa"/>
          <w:jc w:val="center"/>
        </w:trPr>
        <w:tc>
          <w:tcPr>
            <w:tcW w:w="1811" w:type="pct"/>
            <w:noWrap w:val="0"/>
            <w:vAlign w:val="center"/>
          </w:tcPr>
          <w:p w14:paraId="61A3AF87">
            <w:pPr>
              <w:pStyle w:val="34"/>
            </w:pPr>
            <w:r>
              <w:t>编译控制 CSCI</w:t>
            </w:r>
          </w:p>
        </w:tc>
        <w:tc>
          <w:tcPr>
            <w:tcW w:w="855" w:type="pct"/>
            <w:noWrap w:val="0"/>
            <w:vAlign w:val="center"/>
          </w:tcPr>
          <w:p w14:paraId="2A52B0E2">
            <w:pPr>
              <w:pStyle w:val="34"/>
              <w:rPr>
                <w:lang/>
              </w:rPr>
            </w:pPr>
            <w:r>
              <w:t>4.1</w:t>
            </w:r>
          </w:p>
        </w:tc>
        <w:tc>
          <w:tcPr>
            <w:tcW w:w="1723" w:type="pct"/>
            <w:noWrap w:val="0"/>
            <w:vAlign w:val="center"/>
          </w:tcPr>
          <w:p w14:paraId="3B1BDEAB">
            <w:pPr>
              <w:pStyle w:val="34"/>
            </w:pPr>
            <w:r>
              <w:t>统一调度控制需求</w:t>
            </w:r>
          </w:p>
        </w:tc>
        <w:tc>
          <w:tcPr>
            <w:tcW w:w="611" w:type="pct"/>
            <w:noWrap w:val="0"/>
            <w:vAlign w:val="center"/>
          </w:tcPr>
          <w:p w14:paraId="019DBE9A">
            <w:pPr>
              <w:pStyle w:val="34"/>
            </w:pPr>
            <w:r>
              <w:t>3.2.2</w:t>
            </w:r>
          </w:p>
        </w:tc>
      </w:tr>
      <w:tr w14:paraId="413828D8">
        <w:trPr>
          <w:wBefore w:w="0" w:type="dxa"/>
          <w:wAfter w:w="0" w:type="dxa"/>
          <w:jc w:val="center"/>
        </w:trPr>
        <w:tc>
          <w:tcPr>
            <w:tcW w:w="1811" w:type="pct"/>
            <w:noWrap w:val="0"/>
            <w:vAlign w:val="center"/>
          </w:tcPr>
          <w:p w14:paraId="20DD00AE">
            <w:pPr>
              <w:pStyle w:val="34"/>
            </w:pPr>
            <w:r>
              <w:t>编译处理 CSCI</w:t>
            </w:r>
          </w:p>
        </w:tc>
        <w:tc>
          <w:tcPr>
            <w:tcW w:w="855" w:type="pct"/>
            <w:noWrap w:val="0"/>
            <w:vAlign w:val="center"/>
          </w:tcPr>
          <w:p w14:paraId="4E29A875">
            <w:pPr>
              <w:pStyle w:val="34"/>
            </w:pPr>
            <w:r>
              <w:t>4.2</w:t>
            </w:r>
          </w:p>
        </w:tc>
        <w:tc>
          <w:tcPr>
            <w:tcW w:w="1723" w:type="pct"/>
            <w:noWrap w:val="0"/>
            <w:vAlign w:val="center"/>
          </w:tcPr>
          <w:p w14:paraId="2D4C6729">
            <w:pPr>
              <w:pStyle w:val="34"/>
            </w:pPr>
            <w:r>
              <w:t>词法分析功能需求</w:t>
            </w:r>
          </w:p>
        </w:tc>
        <w:tc>
          <w:tcPr>
            <w:tcW w:w="611" w:type="pct"/>
            <w:noWrap w:val="0"/>
            <w:vAlign w:val="center"/>
          </w:tcPr>
          <w:p w14:paraId="793C659A">
            <w:pPr>
              <w:pStyle w:val="34"/>
            </w:pPr>
            <w:r>
              <w:t>3.2.1</w:t>
            </w:r>
          </w:p>
        </w:tc>
      </w:tr>
      <w:tr w14:paraId="5B0A28D3">
        <w:trPr>
          <w:wBefore w:w="0" w:type="dxa"/>
          <w:wAfter w:w="0" w:type="dxa"/>
          <w:jc w:val="center"/>
        </w:trPr>
        <w:tc>
          <w:tcPr>
            <w:tcW w:w="1811" w:type="pct"/>
            <w:noWrap w:val="0"/>
            <w:vAlign w:val="center"/>
          </w:tcPr>
          <w:p w14:paraId="6ABB5FEC">
            <w:pPr>
              <w:pStyle w:val="34"/>
              <w:rPr>
                <w:lang/>
              </w:rPr>
            </w:pPr>
            <w:r/>
          </w:p>
        </w:tc>
        <w:tc>
          <w:tcPr>
            <w:tcW w:w="855" w:type="pct"/>
            <w:noWrap w:val="0"/>
            <w:vAlign w:val="center"/>
          </w:tcPr>
          <w:p w14:paraId="472ADF01">
            <w:pPr>
              <w:pStyle w:val="34"/>
              <w:rPr>
                <w:lang/>
              </w:rPr>
            </w:pPr>
            <w:r/>
          </w:p>
        </w:tc>
        <w:tc>
          <w:tcPr>
            <w:tcW w:w="1723" w:type="pct"/>
            <w:noWrap w:val="0"/>
            <w:vAlign w:val="center"/>
          </w:tcPr>
          <w:p w14:paraId="7EA34F78">
            <w:pPr>
              <w:pStyle w:val="34"/>
            </w:pPr>
            <w:r/>
          </w:p>
        </w:tc>
        <w:tc>
          <w:tcPr>
            <w:tcW w:w="611" w:type="pct"/>
            <w:noWrap w:val="0"/>
            <w:vAlign w:val="center"/>
          </w:tcPr>
          <w:p w14:paraId="689F0684">
            <w:pPr>
              <w:pStyle w:val="34"/>
            </w:pPr>
            <w:r/>
          </w:p>
        </w:tc>
      </w:tr>
    </w:tbl>
    <w:p w14:paraId="51AAB832">
      <w:pPr>
        <w:spacing w:line="360" w:lineRule="auto"/>
        <w:ind w:firstLine="720" w:firstLineChars="300"/>
        <w:rPr>
          <w:rFonts w:hint="eastAsia"/>
          <w:sz w:val="24"/>
        </w:rPr>
      </w:pPr>
    </w:p>
    <w:p w14:paraId="57623C6F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8" w:name="_Toc58519197"/>
      <w:r>
        <w:rPr>
          <w:rFonts w:hint="eastAsia"/>
          <w:kern w:val="32"/>
          <w:sz w:val="24"/>
          <w:szCs w:val="24"/>
        </w:rPr>
        <w:t>注释</w:t>
      </w:r>
      <w:bookmarkEnd w:id="18"/>
    </w:p>
    <w:p w14:paraId="77941E19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术语说明：CSCI 指计算机软件配置项；AST 指抽象语法树；IR 指中间表示。</w:t>
      </w:r>
    </w:p>
    <w:p w14:paraId="77941E19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本文档中的章节编号、接口标识和软件单元名称均用于概要设计阶段的统一描述，后续详细设计可在保持可追踪性的前提下细化。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等线 Light">
    <w:altName w:val="汉仪中等线KW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F1B3D">
    <w:pPr>
      <w:pStyle w:val="10"/>
      <w:framePr w:wrap="around" w:vAnchor="text" w:hAnchor="margin" w:xAlign="right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1D339B9D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0609E">
    <w:pPr>
      <w:pStyle w:val="10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2199A">
    <w:pPr>
      <w:pStyle w:val="11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3DE7E60"/>
    <w:multiLevelType w:val="multilevel"/>
    <w:tmpl w:val="03DE7E60"/>
    <w:lvl w:ilvl="0" w:tentative="0">
      <w:start w:val="1"/>
      <w:numFmt w:val="decimal"/>
      <w:pStyle w:val="30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2">
    <w:nsid w:val="0D8B4525"/>
    <w:multiLevelType w:val="multilevel"/>
    <w:tmpl w:val="0D8B4525"/>
    <w:lvl w:ilvl="0" w:tentative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78A40F79"/>
    <w:multiLevelType w:val="multilevel"/>
    <w:tmpl w:val="78A40F79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kern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4MTU4YTg4NGVkNGQzMGFkYWRmMjQ4NGIxY2MzY2YifQ=="/>
  </w:docVars>
  <w:rsids>
    <w:rsidRoot w:val="00CE3D84"/>
    <w:rsid w:val="0000542C"/>
    <w:rsid w:val="00087B85"/>
    <w:rsid w:val="00094985"/>
    <w:rsid w:val="000B4819"/>
    <w:rsid w:val="000E5E7D"/>
    <w:rsid w:val="000F57E4"/>
    <w:rsid w:val="00116351"/>
    <w:rsid w:val="00126699"/>
    <w:rsid w:val="001B540A"/>
    <w:rsid w:val="001F2E2D"/>
    <w:rsid w:val="00237A8E"/>
    <w:rsid w:val="00243AA2"/>
    <w:rsid w:val="0025357B"/>
    <w:rsid w:val="002705F9"/>
    <w:rsid w:val="002865D1"/>
    <w:rsid w:val="00296559"/>
    <w:rsid w:val="002A6B00"/>
    <w:rsid w:val="002B0F00"/>
    <w:rsid w:val="002E712F"/>
    <w:rsid w:val="0031762F"/>
    <w:rsid w:val="003316D2"/>
    <w:rsid w:val="003656B1"/>
    <w:rsid w:val="00372F30"/>
    <w:rsid w:val="003A0FF5"/>
    <w:rsid w:val="003B5381"/>
    <w:rsid w:val="003E5E06"/>
    <w:rsid w:val="003E6D64"/>
    <w:rsid w:val="00407DC8"/>
    <w:rsid w:val="004350EE"/>
    <w:rsid w:val="004579BE"/>
    <w:rsid w:val="00485B4B"/>
    <w:rsid w:val="004E2F0C"/>
    <w:rsid w:val="005070CB"/>
    <w:rsid w:val="0053134B"/>
    <w:rsid w:val="00553AA1"/>
    <w:rsid w:val="00553DDB"/>
    <w:rsid w:val="0058643D"/>
    <w:rsid w:val="00595CCB"/>
    <w:rsid w:val="005C4523"/>
    <w:rsid w:val="005D0E13"/>
    <w:rsid w:val="005D58FE"/>
    <w:rsid w:val="0063123B"/>
    <w:rsid w:val="00665646"/>
    <w:rsid w:val="00694284"/>
    <w:rsid w:val="006E5C0D"/>
    <w:rsid w:val="0077331B"/>
    <w:rsid w:val="007E1B4D"/>
    <w:rsid w:val="0080572E"/>
    <w:rsid w:val="008113C0"/>
    <w:rsid w:val="00815A9C"/>
    <w:rsid w:val="008357A9"/>
    <w:rsid w:val="00853FE5"/>
    <w:rsid w:val="00855D59"/>
    <w:rsid w:val="008725FD"/>
    <w:rsid w:val="00876768"/>
    <w:rsid w:val="00893965"/>
    <w:rsid w:val="00934F7A"/>
    <w:rsid w:val="0094654B"/>
    <w:rsid w:val="00964719"/>
    <w:rsid w:val="00981AAC"/>
    <w:rsid w:val="009877FA"/>
    <w:rsid w:val="00997D09"/>
    <w:rsid w:val="009B2CFD"/>
    <w:rsid w:val="009B587A"/>
    <w:rsid w:val="009B6CE7"/>
    <w:rsid w:val="009B7411"/>
    <w:rsid w:val="009E2B76"/>
    <w:rsid w:val="009E2FF5"/>
    <w:rsid w:val="00A30D45"/>
    <w:rsid w:val="00A53D32"/>
    <w:rsid w:val="00A74126"/>
    <w:rsid w:val="00A80FA9"/>
    <w:rsid w:val="00A85BF1"/>
    <w:rsid w:val="00A93284"/>
    <w:rsid w:val="00A95D7D"/>
    <w:rsid w:val="00AA3481"/>
    <w:rsid w:val="00AA4B5D"/>
    <w:rsid w:val="00AB494F"/>
    <w:rsid w:val="00AB7CEC"/>
    <w:rsid w:val="00AC68D0"/>
    <w:rsid w:val="00B02F5E"/>
    <w:rsid w:val="00B06BF2"/>
    <w:rsid w:val="00B15C94"/>
    <w:rsid w:val="00B66667"/>
    <w:rsid w:val="00B66D4E"/>
    <w:rsid w:val="00B948F8"/>
    <w:rsid w:val="00B94AD0"/>
    <w:rsid w:val="00BA0E83"/>
    <w:rsid w:val="00BB1A59"/>
    <w:rsid w:val="00C018A6"/>
    <w:rsid w:val="00C1798B"/>
    <w:rsid w:val="00C24DEF"/>
    <w:rsid w:val="00C338D4"/>
    <w:rsid w:val="00C527BA"/>
    <w:rsid w:val="00C60CB9"/>
    <w:rsid w:val="00C676D5"/>
    <w:rsid w:val="00C842AC"/>
    <w:rsid w:val="00CD013B"/>
    <w:rsid w:val="00CE3D84"/>
    <w:rsid w:val="00CE7599"/>
    <w:rsid w:val="00CF1B27"/>
    <w:rsid w:val="00CF26C9"/>
    <w:rsid w:val="00D12FF2"/>
    <w:rsid w:val="00D67176"/>
    <w:rsid w:val="00D9600A"/>
    <w:rsid w:val="00DC5814"/>
    <w:rsid w:val="00DC628F"/>
    <w:rsid w:val="00E12322"/>
    <w:rsid w:val="00E47BF8"/>
    <w:rsid w:val="00E82DEB"/>
    <w:rsid w:val="00E875CC"/>
    <w:rsid w:val="00E93196"/>
    <w:rsid w:val="00EA5627"/>
    <w:rsid w:val="00EB4B16"/>
    <w:rsid w:val="00EC702F"/>
    <w:rsid w:val="00ED1107"/>
    <w:rsid w:val="00EE03B0"/>
    <w:rsid w:val="00F121D3"/>
    <w:rsid w:val="00F40FBA"/>
    <w:rsid w:val="00F4203E"/>
    <w:rsid w:val="00F43287"/>
    <w:rsid w:val="00F52B96"/>
    <w:rsid w:val="00F94345"/>
    <w:rsid w:val="00F96CF7"/>
    <w:rsid w:val="00FF2E5C"/>
    <w:rsid w:val="510416D8"/>
    <w:rsid w:val="5CD55C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character" w:default="1" w:styleId="16">
    <w:name w:val="Default Paragraph Font"/>
    <w:link w:val="17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Document Map"/>
    <w:basedOn w:val="1"/>
    <w:semiHidden/>
    <w:uiPriority w:val="0"/>
    <w:pPr>
      <w:shd w:val="clear" w:color="auto" w:fill="000080"/>
    </w:pPr>
  </w:style>
  <w:style w:type="paragraph" w:styleId="9">
    <w:name w:val="toc 3"/>
    <w:basedOn w:val="1"/>
    <w:next w:val="1"/>
    <w:uiPriority w:val="39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1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12">
    <w:name w:val="toc 1"/>
    <w:basedOn w:val="1"/>
    <w:next w:val="1"/>
    <w:uiPriority w:val="39"/>
  </w:style>
  <w:style w:type="paragraph" w:styleId="13">
    <w:name w:val="toc 2"/>
    <w:basedOn w:val="1"/>
    <w:next w:val="1"/>
    <w:uiPriority w:val="39"/>
    <w:pPr>
      <w:ind w:left="420" w:leftChars="200"/>
    </w:p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Char"/>
    <w:basedOn w:val="1"/>
    <w:link w:val="1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18">
    <w:name w:val="page number"/>
    <w:basedOn w:val="16"/>
    <w:uiPriority w:val="0"/>
  </w:style>
  <w:style w:type="character" w:styleId="19">
    <w:name w:val="Hyperlink"/>
    <w:unhideWhenUsed/>
    <w:uiPriority w:val="99"/>
    <w:rPr>
      <w:color w:val="0563C1"/>
      <w:u w:val="single"/>
    </w:rPr>
  </w:style>
  <w:style w:type="paragraph" w:customStyle="1" w:styleId="20">
    <w:name w:val="正文格式"/>
    <w:basedOn w:val="1"/>
    <w:link w:val="21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21">
    <w:name w:val="正文格式 Char1"/>
    <w:link w:val="20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2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2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24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25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26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7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8">
    <w:name w:val="样式 标题 2第一层条Chapter X.X. Statementh22Header 2l2Level 2 Hea..."/>
    <w:basedOn w:val="3"/>
    <w:uiPriority w:val="0"/>
    <w:pPr>
      <w:spacing w:before="156" w:beforeLines="50" w:after="156" w:afterLines="50" w:line="36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29">
    <w:name w:val="样式4"/>
    <w:basedOn w:val="1"/>
    <w:uiPriority w:val="0"/>
    <w:rPr>
      <w:spacing w:val="2"/>
      <w:szCs w:val="20"/>
      <w:lang/>
    </w:rPr>
  </w:style>
  <w:style w:type="paragraph" w:customStyle="1" w:styleId="30">
    <w:name w:val="表格文字"/>
    <w:basedOn w:val="1"/>
    <w:uiPriority w:val="0"/>
    <w:pPr>
      <w:numPr>
        <w:ilvl w:val="0"/>
        <w:numId w:val="2"/>
      </w:numPr>
    </w:pPr>
    <w:rPr>
      <w:lang/>
    </w:rPr>
  </w:style>
  <w:style w:type="paragraph" w:customStyle="1" w:styleId="31">
    <w:name w:val="？图表编号"/>
    <w:link w:val="32"/>
    <w:qFormat/>
    <w:uiPriority w:val="0"/>
    <w:pPr>
      <w:keepNext/>
      <w:spacing w:before="20" w:beforeLines="20" w:after="20" w:afterLines="20"/>
      <w:jc w:val="center"/>
    </w:pPr>
    <w:rPr>
      <w:rFonts w:cs="Arial"/>
      <w:snapToGrid w:val="0"/>
      <w:sz w:val="24"/>
      <w:szCs w:val="24"/>
      <w:lang w:val="en-US" w:eastAsia="zh-CN" w:bidi="ar-SA"/>
    </w:rPr>
  </w:style>
  <w:style w:type="character" w:customStyle="1" w:styleId="32">
    <w:name w:val="？图表编号 Char"/>
    <w:link w:val="31"/>
    <w:uiPriority w:val="0"/>
    <w:rPr>
      <w:rFonts w:eastAsia="宋体" w:cs="Arial"/>
      <w:snapToGrid w:val="0"/>
      <w:sz w:val="24"/>
      <w:szCs w:val="24"/>
      <w:lang w:val="en-US" w:eastAsia="zh-CN" w:bidi="ar-SA"/>
    </w:rPr>
  </w:style>
  <w:style w:type="paragraph" w:customStyle="1" w:styleId="33">
    <w:name w:val="？表头"/>
    <w:basedOn w:val="1"/>
    <w:uiPriority w:val="0"/>
    <w:pPr>
      <w:spacing w:before="65" w:after="65"/>
      <w:jc w:val="center"/>
    </w:pPr>
    <w:rPr>
      <w:rFonts w:ascii="宋体" w:cs="宋体"/>
      <w:snapToGrid w:val="0"/>
      <w:kern w:val="0"/>
      <w:szCs w:val="20"/>
    </w:rPr>
  </w:style>
  <w:style w:type="paragraph" w:customStyle="1" w:styleId="34">
    <w:name w:val="？表内容"/>
    <w:basedOn w:val="1"/>
    <w:uiPriority w:val="0"/>
    <w:pPr>
      <w:spacing w:line="300" w:lineRule="auto"/>
      <w:jc w:val="left"/>
    </w:pPr>
    <w:rPr>
      <w:rFonts w:ascii="宋体" w:hAnsi="宋体"/>
      <w:snapToGrid w:val="0"/>
      <w:kern w:val="0"/>
      <w:szCs w:val="20"/>
    </w:rPr>
  </w:style>
  <w:style w:type="paragraph" w:styleId="35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799</Words>
  <Characters>4556</Characters>
  <Lines>37</Lines>
  <Paragraphs>10</Paragraphs>
  <TotalTime>0</TotalTime>
  <ScaleCrop>false</ScaleCrop>
  <LinksUpToDate>false</LinksUpToDate>
  <CharactersWithSpaces>5345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2009-12-07T14:19:00Z</dcterms:created>
  <dc:creator>技术研发部-张新亮-17710693680</dc:creator>
  <cp:lastModifiedBy>吴俊杰</cp:lastModifiedBy>
  <cp:lastPrinted>2010-07-19T13:49:00Z</cp:lastPrinted>
  <dcterms:modified xsi:type="dcterms:W3CDTF">2026-04-24T18:29:11Z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AD2A24372E1A199FF745EB6936F9B7C4_43</vt:lpwstr>
  </property>
</Properties>
</file>