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84E4" w14:textId="003F5715" w:rsidR="005B231E" w:rsidRPr="0008082C" w:rsidRDefault="005B231E" w:rsidP="009032E7">
      <w:pPr>
        <w:pStyle w:val="Ttulo"/>
      </w:pPr>
      <w:r w:rsidRPr="0008082C">
        <w:t>Título con sus loguitos</w:t>
      </w:r>
      <w:r w:rsidRPr="0008082C">
        <w:br/>
      </w:r>
    </w:p>
    <w:p w14:paraId="18FC6785" w14:textId="77777777" w:rsidR="005B231E" w:rsidRPr="0008082C" w:rsidRDefault="005B231E">
      <w:pPr>
        <w:rPr>
          <w:rFonts w:cs="Times New Roman"/>
        </w:rPr>
      </w:pPr>
      <w:r w:rsidRPr="0008082C">
        <w:rPr>
          <w:rFonts w:cs="Times New Roman"/>
        </w:rPr>
        <w:br w:type="page"/>
      </w:r>
    </w:p>
    <w:p w14:paraId="2BF196C1" w14:textId="77777777" w:rsidR="0008082C" w:rsidRDefault="0008082C" w:rsidP="00E31130">
      <w:pPr>
        <w:spacing w:line="240" w:lineRule="auto"/>
        <w:jc w:val="both"/>
        <w:rPr>
          <w:rFonts w:cs="Times New Roman"/>
        </w:rPr>
      </w:pPr>
    </w:p>
    <w:p w14:paraId="5813AE55" w14:textId="77777777" w:rsidR="00C5418F" w:rsidRDefault="00C5418F" w:rsidP="009C6F09">
      <w:pPr>
        <w:pStyle w:val="Ttulo1"/>
      </w:pPr>
      <w:r w:rsidRPr="00C5418F">
        <w:t>ÍNDICE GENERAL</w:t>
      </w:r>
    </w:p>
    <w:p w14:paraId="089F73B0" w14:textId="32C203AC" w:rsidR="00C5418F" w:rsidRPr="003678F0" w:rsidRDefault="00C5418F" w:rsidP="003678F0">
      <w:pPr>
        <w:spacing w:line="240" w:lineRule="auto"/>
        <w:ind w:left="708"/>
        <w:rPr>
          <w:rFonts w:cs="Times New Roman"/>
        </w:rPr>
      </w:pPr>
      <w:r w:rsidRPr="003678F0">
        <w:rPr>
          <w:rFonts w:cs="Times New Roman"/>
        </w:rPr>
        <w:t>AGRADECIMIENTOS</w:t>
      </w:r>
    </w:p>
    <w:p w14:paraId="3C673BA3" w14:textId="7B63FEB9" w:rsidR="00C5418F" w:rsidRPr="003678F0" w:rsidRDefault="00C5418F" w:rsidP="003678F0">
      <w:pPr>
        <w:spacing w:line="240" w:lineRule="auto"/>
        <w:ind w:left="708"/>
        <w:rPr>
          <w:rFonts w:cs="Times New Roman"/>
        </w:rPr>
      </w:pPr>
      <w:r w:rsidRPr="003678F0">
        <w:rPr>
          <w:rFonts w:cs="Times New Roman"/>
        </w:rPr>
        <w:t>RESUMEN</w:t>
      </w:r>
    </w:p>
    <w:p w14:paraId="510B9BB3" w14:textId="07DC8A53" w:rsidR="00C5418F" w:rsidRPr="003678F0" w:rsidRDefault="00C5418F" w:rsidP="003678F0">
      <w:pPr>
        <w:spacing w:line="240" w:lineRule="auto"/>
        <w:ind w:left="708"/>
        <w:rPr>
          <w:rFonts w:cs="Times New Roman"/>
        </w:rPr>
      </w:pPr>
      <w:r w:rsidRPr="003678F0">
        <w:rPr>
          <w:rFonts w:cs="Times New Roman"/>
        </w:rPr>
        <w:t>MEMORIA</w:t>
      </w:r>
    </w:p>
    <w:p w14:paraId="20E515C9" w14:textId="0D9AB51D" w:rsidR="00C5418F" w:rsidRPr="003678F0" w:rsidRDefault="00C5418F" w:rsidP="003678F0">
      <w:pPr>
        <w:spacing w:line="240" w:lineRule="auto"/>
        <w:ind w:left="708"/>
        <w:rPr>
          <w:rFonts w:cs="Times New Roman"/>
        </w:rPr>
      </w:pPr>
      <w:r w:rsidRPr="003678F0">
        <w:rPr>
          <w:rFonts w:cs="Times New Roman"/>
        </w:rPr>
        <w:t>PRESUPUESTO</w:t>
      </w:r>
    </w:p>
    <w:p w14:paraId="1669BB52" w14:textId="264D6ADA" w:rsidR="00C5418F" w:rsidRDefault="00C5418F" w:rsidP="00C5418F">
      <w:pPr>
        <w:pStyle w:val="Prrafodelista"/>
        <w:spacing w:line="240" w:lineRule="auto"/>
        <w:ind w:left="1068"/>
        <w:rPr>
          <w:rFonts w:cs="Times New Roman"/>
        </w:rPr>
      </w:pPr>
      <w:r>
        <w:rPr>
          <w:rFonts w:cs="Times New Roman"/>
        </w:rPr>
        <w:br/>
      </w:r>
    </w:p>
    <w:p w14:paraId="27F42E2F" w14:textId="14ED811B" w:rsidR="00E044E2" w:rsidRPr="00C5418F" w:rsidRDefault="00C5418F">
      <w:pPr>
        <w:rPr>
          <w:rFonts w:cs="Times New Roman"/>
        </w:rPr>
      </w:pPr>
      <w:r>
        <w:rPr>
          <w:rFonts w:cs="Times New Roman"/>
        </w:rPr>
        <w:br w:type="page"/>
      </w:r>
    </w:p>
    <w:p w14:paraId="55B10EC0" w14:textId="311F486D" w:rsidR="00E044E2" w:rsidRDefault="00E044E2" w:rsidP="009C6F09">
      <w:pPr>
        <w:pStyle w:val="Ttulo1"/>
      </w:pPr>
      <w:r>
        <w:lastRenderedPageBreak/>
        <w:t>AGRADECIMIENTOS</w:t>
      </w:r>
    </w:p>
    <w:p w14:paraId="2BEA8F8B" w14:textId="18BC6682" w:rsidR="00E044E2" w:rsidRDefault="00E044E2" w:rsidP="009C6F09">
      <w:pPr>
        <w:pStyle w:val="Ttulo1"/>
      </w:pPr>
      <w:r>
        <w:t>RESUMEN</w:t>
      </w:r>
    </w:p>
    <w:p w14:paraId="5C1FBD74" w14:textId="6B63FEB2" w:rsidR="00E044E2" w:rsidRDefault="00E044E2" w:rsidP="009C6F09">
      <w:pPr>
        <w:pStyle w:val="Ttulo1"/>
      </w:pPr>
      <w:r>
        <w:t>ABSTRACT</w:t>
      </w:r>
    </w:p>
    <w:p w14:paraId="53DD4B79" w14:textId="77777777" w:rsidR="00E044E2" w:rsidRDefault="00E044E2">
      <w:pPr>
        <w:rPr>
          <w:rFonts w:cs="Times New Roman"/>
        </w:rPr>
      </w:pPr>
      <w:r>
        <w:rPr>
          <w:rFonts w:cs="Times New Roman"/>
        </w:rPr>
        <w:br w:type="page"/>
      </w:r>
    </w:p>
    <w:p w14:paraId="0DA7325B" w14:textId="77777777" w:rsidR="00E044E2" w:rsidRDefault="00E044E2" w:rsidP="00E044E2">
      <w:pPr>
        <w:spacing w:line="240" w:lineRule="auto"/>
        <w:jc w:val="both"/>
        <w:rPr>
          <w:rFonts w:cs="Times New Roman"/>
        </w:rPr>
      </w:pPr>
    </w:p>
    <w:p w14:paraId="69CF2252" w14:textId="04306095" w:rsidR="00E044E2" w:rsidRDefault="00E044E2" w:rsidP="00E044E2">
      <w:pPr>
        <w:pStyle w:val="Ttulo"/>
      </w:pPr>
      <w:r>
        <w:t>MEMORIA</w:t>
      </w:r>
    </w:p>
    <w:p w14:paraId="751B6D36" w14:textId="77777777" w:rsidR="00C5418F" w:rsidRDefault="00C5418F">
      <w:r>
        <w:br w:type="page"/>
      </w:r>
    </w:p>
    <w:p w14:paraId="3839A163" w14:textId="77777777" w:rsidR="00C5418F" w:rsidRPr="00C5418F" w:rsidRDefault="00C5418F" w:rsidP="009C6F09">
      <w:pPr>
        <w:pStyle w:val="Ttulo1"/>
      </w:pPr>
      <w:r>
        <w:lastRenderedPageBreak/>
        <w:t>ÍNDICE MEMORIA</w:t>
      </w:r>
    </w:p>
    <w:p w14:paraId="15F114AE" w14:textId="77777777" w:rsidR="00C5418F"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Introducción</w:t>
      </w:r>
    </w:p>
    <w:p w14:paraId="5CB31626" w14:textId="77777777" w:rsidR="00C5418F" w:rsidRPr="003B7D04" w:rsidRDefault="00C5418F" w:rsidP="003678F0">
      <w:pPr>
        <w:pStyle w:val="Prrafodelista"/>
        <w:numPr>
          <w:ilvl w:val="1"/>
          <w:numId w:val="20"/>
        </w:numPr>
        <w:spacing w:line="240" w:lineRule="auto"/>
        <w:ind w:left="792"/>
        <w:jc w:val="both"/>
        <w:rPr>
          <w:rFonts w:cs="Times New Roman"/>
          <w:caps/>
        </w:rPr>
      </w:pPr>
      <w:r>
        <w:rPr>
          <w:rFonts w:cs="Times New Roman"/>
        </w:rPr>
        <w:t>Contexto y motivación</w:t>
      </w:r>
    </w:p>
    <w:p w14:paraId="5D659FD2" w14:textId="77777777" w:rsidR="00C5418F" w:rsidRPr="003B7D04" w:rsidRDefault="00C5418F" w:rsidP="003678F0">
      <w:pPr>
        <w:pStyle w:val="Prrafodelista"/>
        <w:numPr>
          <w:ilvl w:val="1"/>
          <w:numId w:val="20"/>
        </w:numPr>
        <w:spacing w:line="240" w:lineRule="auto"/>
        <w:ind w:left="792"/>
        <w:jc w:val="both"/>
        <w:rPr>
          <w:rFonts w:cs="Times New Roman"/>
          <w:caps/>
        </w:rPr>
      </w:pPr>
      <w:r>
        <w:rPr>
          <w:rFonts w:cs="Times New Roman"/>
        </w:rPr>
        <w:t xml:space="preserve">Estado del arte </w:t>
      </w:r>
    </w:p>
    <w:p w14:paraId="1EB12A56" w14:textId="77777777" w:rsidR="00C5418F" w:rsidRPr="003B7D04" w:rsidRDefault="00C5418F" w:rsidP="003678F0">
      <w:pPr>
        <w:pStyle w:val="Prrafodelista"/>
        <w:numPr>
          <w:ilvl w:val="2"/>
          <w:numId w:val="20"/>
        </w:numPr>
        <w:spacing w:line="240" w:lineRule="auto"/>
        <w:ind w:left="1222"/>
        <w:jc w:val="both"/>
        <w:rPr>
          <w:rFonts w:cs="Times New Roman"/>
          <w:caps/>
        </w:rPr>
      </w:pPr>
      <w:r>
        <w:rPr>
          <w:rFonts w:cs="Times New Roman"/>
        </w:rPr>
        <w:t>Métodos de reducción de dimensionalidad</w:t>
      </w:r>
    </w:p>
    <w:p w14:paraId="0DB1E010" w14:textId="77777777" w:rsidR="00C5418F" w:rsidRPr="003B7D04" w:rsidRDefault="00C5418F" w:rsidP="003678F0">
      <w:pPr>
        <w:pStyle w:val="Prrafodelista"/>
        <w:numPr>
          <w:ilvl w:val="2"/>
          <w:numId w:val="20"/>
        </w:numPr>
        <w:spacing w:line="240" w:lineRule="auto"/>
        <w:ind w:left="1222"/>
        <w:jc w:val="both"/>
        <w:rPr>
          <w:rFonts w:cs="Times New Roman"/>
          <w:caps/>
        </w:rPr>
      </w:pPr>
      <w:r>
        <w:rPr>
          <w:rFonts w:cs="Times New Roman"/>
        </w:rPr>
        <w:t>Herramientas existentes para genetistas</w:t>
      </w:r>
    </w:p>
    <w:p w14:paraId="7BED8FD7" w14:textId="77777777" w:rsidR="00C5418F" w:rsidRPr="003B7D04" w:rsidRDefault="00C5418F" w:rsidP="003678F0">
      <w:pPr>
        <w:pStyle w:val="Prrafodelista"/>
        <w:numPr>
          <w:ilvl w:val="2"/>
          <w:numId w:val="20"/>
        </w:numPr>
        <w:spacing w:line="240" w:lineRule="auto"/>
        <w:ind w:left="1222"/>
        <w:jc w:val="both"/>
        <w:rPr>
          <w:rFonts w:cs="Times New Roman"/>
          <w:caps/>
        </w:rPr>
      </w:pPr>
      <w:r>
        <w:rPr>
          <w:rFonts w:cs="Times New Roman"/>
        </w:rPr>
        <w:t>Accesibilidad en bioinformática</w:t>
      </w:r>
    </w:p>
    <w:p w14:paraId="63B416A0" w14:textId="77777777" w:rsidR="00C5418F" w:rsidRPr="005C04D1" w:rsidRDefault="00C5418F" w:rsidP="003678F0">
      <w:pPr>
        <w:pStyle w:val="Prrafodelista"/>
        <w:numPr>
          <w:ilvl w:val="1"/>
          <w:numId w:val="20"/>
        </w:numPr>
        <w:spacing w:line="240" w:lineRule="auto"/>
        <w:ind w:left="792"/>
        <w:jc w:val="both"/>
        <w:rPr>
          <w:rFonts w:cs="Times New Roman"/>
          <w:caps/>
        </w:rPr>
      </w:pPr>
      <w:r>
        <w:rPr>
          <w:rFonts w:cs="Times New Roman"/>
        </w:rPr>
        <w:t>Justificación TFG</w:t>
      </w:r>
    </w:p>
    <w:p w14:paraId="0ED4EB25" w14:textId="77777777" w:rsidR="00C5418F" w:rsidRPr="005C04D1" w:rsidRDefault="00C5418F" w:rsidP="003678F0">
      <w:pPr>
        <w:pStyle w:val="Prrafodelista"/>
        <w:spacing w:line="240" w:lineRule="auto"/>
        <w:ind w:left="792"/>
        <w:jc w:val="both"/>
        <w:rPr>
          <w:rFonts w:cs="Times New Roman"/>
          <w:caps/>
        </w:rPr>
      </w:pPr>
    </w:p>
    <w:p w14:paraId="194D96F4" w14:textId="77777777" w:rsidR="00C5418F" w:rsidRDefault="00C5418F" w:rsidP="003678F0">
      <w:pPr>
        <w:pStyle w:val="Prrafodelista"/>
        <w:numPr>
          <w:ilvl w:val="0"/>
          <w:numId w:val="20"/>
        </w:numPr>
        <w:spacing w:line="240" w:lineRule="auto"/>
        <w:ind w:left="360"/>
        <w:jc w:val="both"/>
        <w:rPr>
          <w:rFonts w:cs="Times New Roman"/>
          <w:caps/>
        </w:rPr>
      </w:pPr>
      <w:r>
        <w:rPr>
          <w:rFonts w:cs="Times New Roman"/>
          <w:caps/>
        </w:rPr>
        <w:t>objetivos</w:t>
      </w:r>
    </w:p>
    <w:p w14:paraId="50A4BE12"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rPr>
        <w:t>Objetivo general (incluir el fuera de alcance)</w:t>
      </w:r>
    </w:p>
    <w:p w14:paraId="5B1C918D" w14:textId="77777777" w:rsidR="00C5418F" w:rsidRPr="005C04D1" w:rsidRDefault="00C5418F" w:rsidP="003678F0">
      <w:pPr>
        <w:pStyle w:val="Prrafodelista"/>
        <w:numPr>
          <w:ilvl w:val="1"/>
          <w:numId w:val="20"/>
        </w:numPr>
        <w:spacing w:line="240" w:lineRule="auto"/>
        <w:ind w:left="792"/>
        <w:jc w:val="both"/>
        <w:rPr>
          <w:rFonts w:cs="Times New Roman"/>
          <w:caps/>
        </w:rPr>
      </w:pPr>
      <w:r>
        <w:rPr>
          <w:rFonts w:cs="Times New Roman"/>
        </w:rPr>
        <w:t>Objetivos específicos</w:t>
      </w:r>
    </w:p>
    <w:p w14:paraId="7208C654" w14:textId="77777777" w:rsidR="00C5418F" w:rsidRPr="005C04D1" w:rsidRDefault="00C5418F" w:rsidP="003678F0">
      <w:pPr>
        <w:pStyle w:val="Prrafodelista"/>
        <w:spacing w:line="240" w:lineRule="auto"/>
        <w:ind w:left="792"/>
        <w:jc w:val="both"/>
        <w:rPr>
          <w:rFonts w:cs="Times New Roman"/>
          <w:caps/>
        </w:rPr>
      </w:pPr>
    </w:p>
    <w:p w14:paraId="55AD8B3C" w14:textId="77777777" w:rsidR="00C5418F"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Normativa y restricciones</w:t>
      </w:r>
    </w:p>
    <w:p w14:paraId="7DC36D69"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rPr>
        <w:t>Licencias del software</w:t>
      </w:r>
    </w:p>
    <w:p w14:paraId="4D495592" w14:textId="77777777" w:rsidR="00C5418F" w:rsidRPr="003B100A" w:rsidRDefault="00C5418F" w:rsidP="003678F0">
      <w:pPr>
        <w:pStyle w:val="Prrafodelista"/>
        <w:numPr>
          <w:ilvl w:val="1"/>
          <w:numId w:val="20"/>
        </w:numPr>
        <w:spacing w:line="240" w:lineRule="auto"/>
        <w:ind w:left="792"/>
        <w:jc w:val="both"/>
        <w:rPr>
          <w:rFonts w:cs="Times New Roman"/>
          <w:caps/>
        </w:rPr>
      </w:pPr>
      <w:r>
        <w:rPr>
          <w:rFonts w:cs="Times New Roman"/>
        </w:rPr>
        <w:t>Protección de datos</w:t>
      </w:r>
    </w:p>
    <w:p w14:paraId="1164A8C5" w14:textId="77777777" w:rsidR="00C5418F" w:rsidRPr="00E16D1A" w:rsidRDefault="00C5418F" w:rsidP="003678F0">
      <w:pPr>
        <w:pStyle w:val="Prrafodelista"/>
        <w:spacing w:line="240" w:lineRule="auto"/>
        <w:ind w:left="792"/>
        <w:jc w:val="both"/>
        <w:rPr>
          <w:rFonts w:cs="Times New Roman"/>
          <w:caps/>
        </w:rPr>
      </w:pPr>
    </w:p>
    <w:p w14:paraId="5DAB422A" w14:textId="77777777" w:rsidR="00C5418F"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Material y métodos</w:t>
      </w:r>
    </w:p>
    <w:p w14:paraId="0E1632BB" w14:textId="0EC3AA3C" w:rsidR="00C5418F" w:rsidRDefault="003678F0" w:rsidP="003678F0">
      <w:pPr>
        <w:pStyle w:val="Prrafodelista"/>
        <w:numPr>
          <w:ilvl w:val="1"/>
          <w:numId w:val="20"/>
        </w:numPr>
        <w:spacing w:line="240" w:lineRule="auto"/>
        <w:ind w:left="792"/>
        <w:jc w:val="both"/>
        <w:rPr>
          <w:rFonts w:cs="Times New Roman"/>
          <w:caps/>
        </w:rPr>
      </w:pPr>
      <w:r>
        <w:rPr>
          <w:rFonts w:cs="Times New Roman"/>
        </w:rPr>
        <w:t>Arquitectura</w:t>
      </w:r>
      <w:r w:rsidR="00C5418F">
        <w:rPr>
          <w:rFonts w:cs="Times New Roman"/>
        </w:rPr>
        <w:t xml:space="preserve"> de la aplicación</w:t>
      </w:r>
    </w:p>
    <w:p w14:paraId="04A4F1E0"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rPr>
        <w:t>Tecnología y librerías utilizadas</w:t>
      </w:r>
    </w:p>
    <w:p w14:paraId="46DFCBDB"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rPr>
        <w:t>Modos de operación</w:t>
      </w:r>
    </w:p>
    <w:p w14:paraId="129C7437"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rPr>
        <w:t>Parámetros estadísticos del análisis</w:t>
      </w:r>
    </w:p>
    <w:p w14:paraId="17232BCA" w14:textId="77777777" w:rsidR="00C5418F" w:rsidRDefault="00C5418F" w:rsidP="003678F0">
      <w:pPr>
        <w:pStyle w:val="Prrafodelista"/>
        <w:numPr>
          <w:ilvl w:val="2"/>
          <w:numId w:val="20"/>
        </w:numPr>
        <w:spacing w:line="240" w:lineRule="auto"/>
        <w:ind w:left="1222"/>
        <w:jc w:val="both"/>
        <w:rPr>
          <w:rFonts w:cs="Times New Roman"/>
          <w:caps/>
          <w:lang w:val="en-US"/>
        </w:rPr>
      </w:pPr>
      <w:proofErr w:type="spellStart"/>
      <w:r w:rsidRPr="003B100A">
        <w:rPr>
          <w:rFonts w:cs="Times New Roman"/>
          <w:lang w:val="en-US"/>
        </w:rPr>
        <w:t>Max_sample_gt_missing_r</w:t>
      </w:r>
      <w:r>
        <w:rPr>
          <w:rFonts w:cs="Times New Roman"/>
          <w:lang w:val="en-US"/>
        </w:rPr>
        <w:t>ate</w:t>
      </w:r>
      <w:proofErr w:type="spellEnd"/>
    </w:p>
    <w:p w14:paraId="3B5394A3" w14:textId="77777777" w:rsidR="00C5418F" w:rsidRDefault="00C5418F" w:rsidP="003678F0">
      <w:pPr>
        <w:pStyle w:val="Prrafodelista"/>
        <w:numPr>
          <w:ilvl w:val="2"/>
          <w:numId w:val="20"/>
        </w:numPr>
        <w:spacing w:line="240" w:lineRule="auto"/>
        <w:ind w:left="1222"/>
        <w:jc w:val="both"/>
        <w:rPr>
          <w:rFonts w:cs="Times New Roman"/>
          <w:caps/>
          <w:lang w:val="en-US"/>
        </w:rPr>
      </w:pPr>
      <w:proofErr w:type="spellStart"/>
      <w:r>
        <w:rPr>
          <w:rFonts w:cs="Times New Roman"/>
          <w:caps/>
          <w:lang w:val="en-US"/>
        </w:rPr>
        <w:t>m</w:t>
      </w:r>
      <w:r>
        <w:rPr>
          <w:rFonts w:cs="Times New Roman"/>
          <w:lang w:val="en-US"/>
        </w:rPr>
        <w:t>ax_var_gt_missing_rate</w:t>
      </w:r>
      <w:proofErr w:type="spellEnd"/>
    </w:p>
    <w:p w14:paraId="107A0A28" w14:textId="77777777" w:rsidR="00C5418F" w:rsidRDefault="00C5418F" w:rsidP="003678F0">
      <w:pPr>
        <w:pStyle w:val="Prrafodelista"/>
        <w:numPr>
          <w:ilvl w:val="2"/>
          <w:numId w:val="20"/>
        </w:numPr>
        <w:spacing w:line="240" w:lineRule="auto"/>
        <w:ind w:left="1222"/>
        <w:jc w:val="both"/>
        <w:rPr>
          <w:rFonts w:cs="Times New Roman"/>
          <w:caps/>
          <w:lang w:val="en-US"/>
        </w:rPr>
      </w:pPr>
      <w:proofErr w:type="spellStart"/>
      <w:r>
        <w:rPr>
          <w:rFonts w:cs="Times New Roman"/>
          <w:lang w:val="en-US"/>
        </w:rPr>
        <w:t>Max_allowed_maf</w:t>
      </w:r>
      <w:proofErr w:type="spellEnd"/>
    </w:p>
    <w:p w14:paraId="34E46B50" w14:textId="77777777" w:rsidR="00C5418F" w:rsidRDefault="00C5418F" w:rsidP="003678F0">
      <w:pPr>
        <w:pStyle w:val="Prrafodelista"/>
        <w:numPr>
          <w:ilvl w:val="2"/>
          <w:numId w:val="20"/>
        </w:numPr>
        <w:spacing w:line="240" w:lineRule="auto"/>
        <w:ind w:left="1222"/>
        <w:jc w:val="both"/>
        <w:rPr>
          <w:rFonts w:cs="Times New Roman"/>
          <w:caps/>
          <w:lang w:val="en-US"/>
        </w:rPr>
      </w:pPr>
      <w:r>
        <w:rPr>
          <w:rFonts w:cs="Times New Roman"/>
          <w:lang w:val="en-US"/>
        </w:rPr>
        <w:t>Max_allowed_r2</w:t>
      </w:r>
    </w:p>
    <w:p w14:paraId="39F59A2E" w14:textId="77777777" w:rsidR="00C5418F" w:rsidRPr="003B100A" w:rsidRDefault="00C5418F" w:rsidP="003678F0">
      <w:pPr>
        <w:pStyle w:val="Prrafodelista"/>
        <w:numPr>
          <w:ilvl w:val="2"/>
          <w:numId w:val="20"/>
        </w:numPr>
        <w:spacing w:line="240" w:lineRule="auto"/>
        <w:ind w:left="1222"/>
        <w:jc w:val="both"/>
        <w:rPr>
          <w:rFonts w:cs="Times New Roman"/>
          <w:caps/>
          <w:lang w:val="en-US"/>
        </w:rPr>
      </w:pPr>
      <w:r>
        <w:rPr>
          <w:rFonts w:cs="Times New Roman"/>
          <w:lang w:val="en-US"/>
        </w:rPr>
        <w:t xml:space="preserve">Distancia de </w:t>
      </w:r>
      <w:proofErr w:type="spellStart"/>
      <w:r>
        <w:rPr>
          <w:rFonts w:cs="Times New Roman"/>
          <w:lang w:val="en-US"/>
        </w:rPr>
        <w:t>kosman</w:t>
      </w:r>
      <w:proofErr w:type="spellEnd"/>
    </w:p>
    <w:p w14:paraId="1E28A071"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caps/>
        </w:rPr>
        <w:t>tratamientos de errores y testeos</w:t>
      </w:r>
    </w:p>
    <w:p w14:paraId="179FDEB4" w14:textId="77777777" w:rsidR="00C5418F" w:rsidRPr="00E16D1A" w:rsidRDefault="00C5418F" w:rsidP="003678F0">
      <w:pPr>
        <w:pStyle w:val="Prrafodelista"/>
        <w:spacing w:line="240" w:lineRule="auto"/>
        <w:ind w:left="792"/>
        <w:jc w:val="both"/>
        <w:rPr>
          <w:rFonts w:cs="Times New Roman"/>
          <w:caps/>
        </w:rPr>
      </w:pPr>
    </w:p>
    <w:p w14:paraId="6B2F5616" w14:textId="77777777" w:rsidR="00C5418F"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Resultados</w:t>
      </w:r>
    </w:p>
    <w:p w14:paraId="12067AC3"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rPr>
        <w:t>Ejemplos de uso</w:t>
      </w:r>
    </w:p>
    <w:p w14:paraId="1DA04C8E" w14:textId="42971494" w:rsidR="00C5418F" w:rsidRDefault="00C5418F" w:rsidP="003678F0">
      <w:pPr>
        <w:pStyle w:val="Prrafodelista"/>
        <w:numPr>
          <w:ilvl w:val="2"/>
          <w:numId w:val="20"/>
        </w:numPr>
        <w:spacing w:line="240" w:lineRule="auto"/>
        <w:ind w:left="1222"/>
        <w:jc w:val="both"/>
        <w:rPr>
          <w:rFonts w:cs="Times New Roman"/>
          <w:caps/>
        </w:rPr>
      </w:pPr>
      <w:r>
        <w:rPr>
          <w:rFonts w:cs="Times New Roman"/>
        </w:rPr>
        <w:t>Modo genómico (</w:t>
      </w:r>
      <w:r w:rsidR="003678F0">
        <w:rPr>
          <w:rFonts w:cs="Times New Roman"/>
        </w:rPr>
        <w:t>VCF</w:t>
      </w:r>
      <w:r>
        <w:rPr>
          <w:rFonts w:cs="Times New Roman"/>
        </w:rPr>
        <w:t>)</w:t>
      </w:r>
    </w:p>
    <w:p w14:paraId="29A5A287" w14:textId="1A5E688B" w:rsidR="00C5418F" w:rsidRDefault="00C5418F" w:rsidP="003678F0">
      <w:pPr>
        <w:pStyle w:val="Prrafodelista"/>
        <w:numPr>
          <w:ilvl w:val="2"/>
          <w:numId w:val="20"/>
        </w:numPr>
        <w:spacing w:line="240" w:lineRule="auto"/>
        <w:ind w:left="1222"/>
        <w:jc w:val="both"/>
        <w:rPr>
          <w:rFonts w:cs="Times New Roman"/>
          <w:caps/>
        </w:rPr>
      </w:pPr>
      <w:r>
        <w:rPr>
          <w:rFonts w:cs="Times New Roman"/>
        </w:rPr>
        <w:t>Modo cuantitativo (</w:t>
      </w:r>
      <w:r w:rsidR="003678F0">
        <w:rPr>
          <w:rFonts w:cs="Times New Roman"/>
        </w:rPr>
        <w:t>CSV</w:t>
      </w:r>
      <w:r>
        <w:rPr>
          <w:rFonts w:cs="Times New Roman"/>
        </w:rPr>
        <w:t>)</w:t>
      </w:r>
    </w:p>
    <w:p w14:paraId="5258DEB2" w14:textId="77777777" w:rsidR="00C5418F" w:rsidRDefault="00C5418F" w:rsidP="003678F0">
      <w:pPr>
        <w:pStyle w:val="Prrafodelista"/>
        <w:numPr>
          <w:ilvl w:val="2"/>
          <w:numId w:val="20"/>
        </w:numPr>
        <w:spacing w:line="240" w:lineRule="auto"/>
        <w:ind w:left="1222"/>
        <w:jc w:val="both"/>
        <w:rPr>
          <w:rFonts w:cs="Times New Roman"/>
          <w:caps/>
        </w:rPr>
      </w:pPr>
      <w:r>
        <w:rPr>
          <w:rFonts w:cs="Times New Roman"/>
        </w:rPr>
        <w:t>Modo matriz de distancias</w:t>
      </w:r>
    </w:p>
    <w:p w14:paraId="366441B5"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rPr>
        <w:t>Validación funcional</w:t>
      </w:r>
    </w:p>
    <w:p w14:paraId="3F399DF0" w14:textId="77777777" w:rsidR="00C5418F" w:rsidRDefault="00C5418F" w:rsidP="003678F0">
      <w:pPr>
        <w:pStyle w:val="Prrafodelista"/>
        <w:numPr>
          <w:ilvl w:val="2"/>
          <w:numId w:val="20"/>
        </w:numPr>
        <w:spacing w:line="240" w:lineRule="auto"/>
        <w:ind w:left="1222"/>
        <w:jc w:val="both"/>
        <w:rPr>
          <w:rFonts w:cs="Times New Roman"/>
          <w:caps/>
        </w:rPr>
      </w:pPr>
      <w:r>
        <w:rPr>
          <w:rFonts w:cs="Times New Roman"/>
        </w:rPr>
        <w:t>Compatibilidad con datos de genética animal y vegetal</w:t>
      </w:r>
    </w:p>
    <w:p w14:paraId="206CCA38" w14:textId="77777777" w:rsidR="00C5418F" w:rsidRDefault="00C5418F" w:rsidP="003678F0">
      <w:pPr>
        <w:pStyle w:val="Prrafodelista"/>
        <w:numPr>
          <w:ilvl w:val="2"/>
          <w:numId w:val="20"/>
        </w:numPr>
        <w:spacing w:line="240" w:lineRule="auto"/>
        <w:ind w:left="1222"/>
        <w:jc w:val="both"/>
        <w:rPr>
          <w:rFonts w:cs="Times New Roman"/>
          <w:caps/>
        </w:rPr>
      </w:pPr>
      <w:r>
        <w:rPr>
          <w:rFonts w:cs="Times New Roman"/>
        </w:rPr>
        <w:t>Comportamiento ante errores</w:t>
      </w:r>
    </w:p>
    <w:p w14:paraId="08968B82" w14:textId="77777777" w:rsidR="00C5418F" w:rsidRDefault="00C5418F" w:rsidP="003678F0">
      <w:pPr>
        <w:pStyle w:val="Prrafodelista"/>
        <w:numPr>
          <w:ilvl w:val="2"/>
          <w:numId w:val="20"/>
        </w:numPr>
        <w:spacing w:line="240" w:lineRule="auto"/>
        <w:ind w:left="1222"/>
        <w:jc w:val="both"/>
        <w:rPr>
          <w:rFonts w:cs="Times New Roman"/>
          <w:caps/>
        </w:rPr>
      </w:pPr>
      <w:r>
        <w:rPr>
          <w:rFonts w:cs="Times New Roman"/>
        </w:rPr>
        <w:t>Pruebas desde otros dispositivos</w:t>
      </w:r>
    </w:p>
    <w:p w14:paraId="1272A071" w14:textId="77777777" w:rsidR="00C5418F" w:rsidRPr="003B100A" w:rsidRDefault="00C5418F" w:rsidP="003678F0">
      <w:pPr>
        <w:pStyle w:val="Prrafodelista"/>
        <w:numPr>
          <w:ilvl w:val="2"/>
          <w:numId w:val="20"/>
        </w:numPr>
        <w:spacing w:line="240" w:lineRule="auto"/>
        <w:ind w:left="1222"/>
        <w:jc w:val="both"/>
        <w:rPr>
          <w:rFonts w:cs="Times New Roman"/>
          <w:caps/>
        </w:rPr>
      </w:pPr>
      <w:r>
        <w:rPr>
          <w:rFonts w:cs="Times New Roman"/>
        </w:rPr>
        <w:t>Prueba de campo</w:t>
      </w:r>
    </w:p>
    <w:p w14:paraId="5281DAF4" w14:textId="77777777" w:rsidR="00C5418F" w:rsidRPr="00E16D1A" w:rsidRDefault="00C5418F" w:rsidP="003678F0">
      <w:pPr>
        <w:pStyle w:val="Prrafodelista"/>
        <w:spacing w:line="240" w:lineRule="auto"/>
        <w:ind w:left="1222"/>
        <w:jc w:val="both"/>
        <w:rPr>
          <w:rFonts w:cs="Times New Roman"/>
          <w:caps/>
        </w:rPr>
      </w:pPr>
    </w:p>
    <w:p w14:paraId="5AB99C8E" w14:textId="77777777" w:rsidR="00C5418F"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Discusión</w:t>
      </w:r>
    </w:p>
    <w:p w14:paraId="1DB7CC3B" w14:textId="77777777" w:rsidR="00C5418F" w:rsidRPr="00E16D1A" w:rsidRDefault="00C5418F" w:rsidP="003678F0">
      <w:pPr>
        <w:pStyle w:val="Prrafodelista"/>
        <w:spacing w:line="240" w:lineRule="auto"/>
        <w:ind w:left="360"/>
        <w:jc w:val="both"/>
        <w:rPr>
          <w:rFonts w:cs="Times New Roman"/>
          <w:caps/>
        </w:rPr>
      </w:pPr>
    </w:p>
    <w:p w14:paraId="2F22A257" w14:textId="77777777" w:rsidR="00C5418F" w:rsidRPr="00E16D1A"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 xml:space="preserve">Limitaciones y líneas futuras </w:t>
      </w:r>
    </w:p>
    <w:p w14:paraId="5EBAB234" w14:textId="77777777" w:rsidR="00C5418F" w:rsidRDefault="00C5418F" w:rsidP="003678F0">
      <w:pPr>
        <w:pStyle w:val="Prrafodelista"/>
        <w:spacing w:line="240" w:lineRule="auto"/>
        <w:ind w:left="360"/>
        <w:jc w:val="both"/>
        <w:rPr>
          <w:rFonts w:cs="Times New Roman"/>
          <w:caps/>
        </w:rPr>
      </w:pPr>
    </w:p>
    <w:p w14:paraId="3B53637C" w14:textId="77777777" w:rsidR="00C5418F" w:rsidRPr="00E16D1A"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Conclusión</w:t>
      </w:r>
    </w:p>
    <w:p w14:paraId="091C69C9" w14:textId="77777777" w:rsidR="00C5418F" w:rsidRDefault="00C5418F" w:rsidP="003678F0">
      <w:pPr>
        <w:pStyle w:val="Prrafodelista"/>
        <w:spacing w:line="240" w:lineRule="auto"/>
        <w:ind w:left="360"/>
        <w:jc w:val="both"/>
        <w:rPr>
          <w:rFonts w:cs="Times New Roman"/>
          <w:caps/>
        </w:rPr>
      </w:pPr>
    </w:p>
    <w:p w14:paraId="2213006A" w14:textId="77777777" w:rsidR="00C5418F" w:rsidRPr="00E16D1A"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Objetivos de desarrollo sostenible (ODS)</w:t>
      </w:r>
    </w:p>
    <w:p w14:paraId="4E03A56B" w14:textId="77777777" w:rsidR="00C5418F" w:rsidRDefault="00C5418F" w:rsidP="003678F0">
      <w:pPr>
        <w:pStyle w:val="Prrafodelista"/>
        <w:spacing w:line="240" w:lineRule="auto"/>
        <w:ind w:left="360"/>
        <w:jc w:val="both"/>
        <w:rPr>
          <w:rFonts w:cs="Times New Roman"/>
          <w:caps/>
        </w:rPr>
      </w:pPr>
    </w:p>
    <w:p w14:paraId="7CEDDB93" w14:textId="77777777" w:rsidR="00C5418F" w:rsidRDefault="00C5418F" w:rsidP="003678F0">
      <w:pPr>
        <w:pStyle w:val="Prrafodelista"/>
        <w:numPr>
          <w:ilvl w:val="0"/>
          <w:numId w:val="20"/>
        </w:numPr>
        <w:spacing w:line="240" w:lineRule="auto"/>
        <w:ind w:left="360"/>
        <w:jc w:val="both"/>
        <w:rPr>
          <w:rFonts w:cs="Times New Roman"/>
          <w:caps/>
        </w:rPr>
      </w:pPr>
      <w:r w:rsidRPr="00E16D1A">
        <w:rPr>
          <w:rFonts w:cs="Times New Roman"/>
          <w:caps/>
        </w:rPr>
        <w:t>bibliografía</w:t>
      </w:r>
    </w:p>
    <w:p w14:paraId="4C0D9136" w14:textId="77777777" w:rsidR="00C5418F" w:rsidRDefault="00C5418F" w:rsidP="003678F0">
      <w:pPr>
        <w:pStyle w:val="Prrafodelista"/>
        <w:spacing w:line="240" w:lineRule="auto"/>
        <w:ind w:left="360"/>
        <w:jc w:val="both"/>
        <w:rPr>
          <w:rFonts w:cs="Times New Roman"/>
          <w:caps/>
        </w:rPr>
      </w:pPr>
    </w:p>
    <w:p w14:paraId="3F88935E" w14:textId="77777777" w:rsidR="00C5418F" w:rsidRPr="00E044E2" w:rsidRDefault="00C5418F" w:rsidP="003678F0">
      <w:pPr>
        <w:pStyle w:val="Prrafodelista"/>
        <w:numPr>
          <w:ilvl w:val="0"/>
          <w:numId w:val="20"/>
        </w:numPr>
        <w:spacing w:line="240" w:lineRule="auto"/>
        <w:ind w:left="360"/>
        <w:jc w:val="both"/>
        <w:rPr>
          <w:rFonts w:cs="Times New Roman"/>
          <w:caps/>
        </w:rPr>
      </w:pPr>
      <w:r>
        <w:rPr>
          <w:rFonts w:cs="Times New Roman"/>
          <w:caps/>
        </w:rPr>
        <w:t>anexos</w:t>
      </w:r>
    </w:p>
    <w:p w14:paraId="758A5350" w14:textId="77777777" w:rsidR="00C5418F" w:rsidRDefault="00C5418F" w:rsidP="003678F0">
      <w:pPr>
        <w:pStyle w:val="Prrafodelista"/>
        <w:numPr>
          <w:ilvl w:val="1"/>
          <w:numId w:val="20"/>
        </w:numPr>
        <w:spacing w:line="240" w:lineRule="auto"/>
        <w:ind w:left="792"/>
        <w:jc w:val="both"/>
        <w:rPr>
          <w:rFonts w:cs="Times New Roman"/>
          <w:caps/>
        </w:rPr>
      </w:pPr>
      <w:r>
        <w:rPr>
          <w:rFonts w:cs="Times New Roman"/>
          <w:caps/>
        </w:rPr>
        <w:lastRenderedPageBreak/>
        <w:t>A</w:t>
      </w:r>
      <w:r>
        <w:rPr>
          <w:rFonts w:cs="Times New Roman"/>
        </w:rPr>
        <w:t>nexo A: Manual del Usuario</w:t>
      </w:r>
    </w:p>
    <w:p w14:paraId="01ADD0D0" w14:textId="22AE37F1" w:rsidR="00E044E2" w:rsidRPr="00C5418F" w:rsidRDefault="00C5418F" w:rsidP="003678F0">
      <w:pPr>
        <w:pStyle w:val="Prrafodelista"/>
        <w:numPr>
          <w:ilvl w:val="1"/>
          <w:numId w:val="20"/>
        </w:numPr>
        <w:spacing w:line="240" w:lineRule="auto"/>
        <w:ind w:left="792"/>
        <w:jc w:val="both"/>
        <w:rPr>
          <w:rFonts w:cs="Times New Roman"/>
          <w:caps/>
        </w:rPr>
      </w:pPr>
      <w:r>
        <w:rPr>
          <w:rFonts w:cs="Times New Roman"/>
        </w:rPr>
        <w:t>Anexo B</w:t>
      </w:r>
      <w:r>
        <w:rPr>
          <w:rFonts w:cs="Times New Roman"/>
          <w:caps/>
        </w:rPr>
        <w:t>:</w:t>
      </w:r>
      <w:r>
        <w:rPr>
          <w:rFonts w:cs="Times New Roman"/>
        </w:rPr>
        <w:t xml:space="preserve"> Manual del Programador</w:t>
      </w:r>
      <w:r w:rsidR="00E044E2">
        <w:br w:type="page"/>
      </w:r>
    </w:p>
    <w:p w14:paraId="04980940" w14:textId="77777777" w:rsidR="00136926" w:rsidRPr="009C6F09" w:rsidRDefault="00136926" w:rsidP="009C6F09">
      <w:pPr>
        <w:pStyle w:val="Ttulo1"/>
      </w:pPr>
      <w:r w:rsidRPr="009C6F09">
        <w:lastRenderedPageBreak/>
        <w:t>Introducción</w:t>
      </w:r>
    </w:p>
    <w:p w14:paraId="57A7957E" w14:textId="297D5FF7" w:rsidR="00136926" w:rsidRDefault="00136926" w:rsidP="00136926">
      <w:pPr>
        <w:pStyle w:val="Ttulo2"/>
      </w:pPr>
      <w:r>
        <w:t>Contexto y motivación</w:t>
      </w:r>
      <w:r w:rsidR="00461E9F">
        <w:t xml:space="preserve"> </w:t>
      </w:r>
      <w:r w:rsidR="009C6F09">
        <w:t>–</w:t>
      </w:r>
      <w:r w:rsidR="00461E9F">
        <w:t xml:space="preserve"> F</w:t>
      </w:r>
      <w:r w:rsidR="009C6F09">
        <w:t xml:space="preserve"> </w:t>
      </w:r>
      <w:r w:rsidR="009C6F09" w:rsidRPr="009C6F09">
        <w:rPr>
          <w:color w:val="A02B93" w:themeColor="accent5"/>
        </w:rPr>
        <w:t>– Estado del arte</w:t>
      </w:r>
    </w:p>
    <w:p w14:paraId="689EA95D" w14:textId="35166F45" w:rsidR="0099268A" w:rsidRDefault="0099268A" w:rsidP="0099268A">
      <w:r>
        <w:t>La genética de poblaciones es la disciplina que estudia cómo varía la composición genética de los seres vivos dentro de una misma especie y como esa variación cambia con el tiempo, se transmite entre generaciones y se distribuye entre grupos o poblaciones</w:t>
      </w:r>
      <w:r w:rsidR="00624F05">
        <w:t xml:space="preserve"> </w:t>
      </w:r>
      <w:r w:rsidR="00624F05" w:rsidRPr="00624F05">
        <w:rPr>
          <w:highlight w:val="lightGray"/>
        </w:rPr>
        <w:t>(Hartl y Clark, 2007)</w:t>
      </w:r>
      <w:r>
        <w:t>. Tiene aplicaciones como la conservación de especies en peligro de extinción, la mejora genética de cultivos y ganado, la medicina, los movimientos migratorios de una especie o el estudio de la evolución humana.</w:t>
      </w:r>
      <w:r w:rsidR="001C426D">
        <w:t xml:space="preserve"> En todos estos casos la pregunta a investigares similar: ¿qué estructura tiene la variación genética dentro de una población o entre poblaciones distintas y qué nos dice esa estructura sobre su historia, su salud o su futuro?</w:t>
      </w:r>
    </w:p>
    <w:p w14:paraId="25A3CD2E" w14:textId="77777777" w:rsidR="00EA6522" w:rsidRDefault="00EA6522" w:rsidP="0099268A"/>
    <w:p w14:paraId="00A321CC" w14:textId="2DBCA9EB" w:rsidR="001C426D" w:rsidRDefault="001C426D" w:rsidP="0099268A">
      <w:r>
        <w:t xml:space="preserve">Durante gran parte del siglo XX conocer la variación genética de una población consistía en observar muy pocas muestras de un puzle inmenso. La primera herramienta que permitió hacerlo con cierto rigor fue la </w:t>
      </w:r>
      <w:r w:rsidRPr="00BB76FA">
        <w:rPr>
          <w:b/>
          <w:bCs/>
        </w:rPr>
        <w:t xml:space="preserve">electroforesis de </w:t>
      </w:r>
      <w:proofErr w:type="spellStart"/>
      <w:r w:rsidRPr="00BB76FA">
        <w:rPr>
          <w:b/>
          <w:bCs/>
        </w:rPr>
        <w:t>aloenzimas</w:t>
      </w:r>
      <w:proofErr w:type="spellEnd"/>
      <w:r>
        <w:t xml:space="preserve">, una técnica que separa proteínas por su tamaño y carga eléctrica, revelando variantes de una misma enzima entre individuos, empleada por </w:t>
      </w:r>
      <w:r w:rsidRPr="001C426D">
        <w:rPr>
          <w:highlight w:val="lightGray"/>
        </w:rPr>
        <w:t>Lewontin y Hubby (1966)</w:t>
      </w:r>
      <w:r>
        <w:t xml:space="preserve"> para descubrir por primera vez variación genética entre varias loci de poblaciones naturales de Drosophila. Por primera vez fue posible cuantificar la </w:t>
      </w:r>
      <w:proofErr w:type="spellStart"/>
      <w:r>
        <w:t>heterocigosidad</w:t>
      </w:r>
      <w:proofErr w:type="spellEnd"/>
      <w:r>
        <w:t xml:space="preserve"> real de una población en lugar de inferirla teóricamente </w:t>
      </w:r>
      <w:r w:rsidRPr="001C426D">
        <w:rPr>
          <w:highlight w:val="lightGray"/>
        </w:rPr>
        <w:t>(Avise, 1994)</w:t>
      </w:r>
      <w:r>
        <w:t>.</w:t>
      </w:r>
    </w:p>
    <w:p w14:paraId="742CAA43" w14:textId="01177C04" w:rsidR="00BB76FA" w:rsidRDefault="00BA71C6" w:rsidP="0099268A">
      <w:r>
        <w:t xml:space="preserve">En las décadas siguientes, las </w:t>
      </w:r>
      <w:proofErr w:type="spellStart"/>
      <w:r w:rsidRPr="00BB76FA">
        <w:t>aloenzimas</w:t>
      </w:r>
      <w:proofErr w:type="spellEnd"/>
      <w:r>
        <w:t xml:space="preserve"> fueron progresivamente sustituidas por marcadores que examinaban directamente el ADN. Los</w:t>
      </w:r>
      <w:r w:rsidRPr="00BB76FA">
        <w:rPr>
          <w:b/>
          <w:bCs/>
        </w:rPr>
        <w:t xml:space="preserve"> polimorfismos de longitud de fragmentos de restricción (</w:t>
      </w:r>
      <w:proofErr w:type="spellStart"/>
      <w:r w:rsidRPr="00BB76FA">
        <w:rPr>
          <w:b/>
          <w:bCs/>
        </w:rPr>
        <w:t>RFLPs</w:t>
      </w:r>
      <w:proofErr w:type="spellEnd"/>
      <w:r w:rsidRPr="00BB76FA">
        <w:rPr>
          <w:b/>
          <w:bCs/>
        </w:rPr>
        <w:t>)</w:t>
      </w:r>
      <w:r>
        <w:t xml:space="preserve">, introducidos por </w:t>
      </w:r>
      <w:proofErr w:type="spellStart"/>
      <w:r w:rsidRPr="00797015">
        <w:rPr>
          <w:highlight w:val="lightGray"/>
        </w:rPr>
        <w:t>Bots</w:t>
      </w:r>
      <w:r w:rsidR="00A473C8">
        <w:rPr>
          <w:highlight w:val="lightGray"/>
        </w:rPr>
        <w:t>t</w:t>
      </w:r>
      <w:r w:rsidRPr="00797015">
        <w:rPr>
          <w:highlight w:val="lightGray"/>
        </w:rPr>
        <w:t>ein</w:t>
      </w:r>
      <w:proofErr w:type="spellEnd"/>
      <w:r w:rsidRPr="00797015">
        <w:rPr>
          <w:highlight w:val="lightGray"/>
        </w:rPr>
        <w:t xml:space="preserve"> et al. (1980)</w:t>
      </w:r>
      <w:r>
        <w:t>, permitieron construir los primeros mapas de ligamiento genético basados en variaciones del ADN</w:t>
      </w:r>
      <w:r w:rsidR="00BB76FA">
        <w:t xml:space="preserve">, aunque su uso requería conocer de antemano la posición concreta del genoma que se quería examinar. A mediados de los años 90 surgió una técnica que prescindía de ese requisito: los </w:t>
      </w:r>
      <w:r w:rsidR="00BB76FA" w:rsidRPr="00BB76FA">
        <w:rPr>
          <w:b/>
          <w:bCs/>
        </w:rPr>
        <w:t>polimorfismos de longitud de fragmentos amplificados (</w:t>
      </w:r>
      <w:proofErr w:type="spellStart"/>
      <w:r w:rsidR="00BB76FA" w:rsidRPr="00BB76FA">
        <w:rPr>
          <w:b/>
          <w:bCs/>
        </w:rPr>
        <w:t>AFLPs</w:t>
      </w:r>
      <w:proofErr w:type="spellEnd"/>
      <w:r w:rsidR="00BB76FA" w:rsidRPr="00BB76FA">
        <w:rPr>
          <w:b/>
          <w:bCs/>
        </w:rPr>
        <w:t>)</w:t>
      </w:r>
      <w:r w:rsidR="00BB76FA">
        <w:t xml:space="preserve">, descritos por </w:t>
      </w:r>
      <w:r w:rsidR="00BB76FA" w:rsidRPr="00BB76FA">
        <w:rPr>
          <w:highlight w:val="lightGray"/>
        </w:rPr>
        <w:t>Vos et al. (1995)</w:t>
      </w:r>
      <w:r w:rsidR="00BB76FA">
        <w:t xml:space="preserve">, que combinaban la digestión de encimas de restricción con la amplificación selectiva por PCR para generar simultáneamente decenas de marcadores sin necesidad de secuencia previa. Esto los hizo especialmente populares en el estudio de poblaciones de especies sin genoma de referencia. Casi al mismo tiempo los </w:t>
      </w:r>
      <w:r w:rsidR="00BB76FA" w:rsidRPr="00BB76FA">
        <w:rPr>
          <w:b/>
          <w:bCs/>
        </w:rPr>
        <w:t>microsatélites</w:t>
      </w:r>
      <w:r w:rsidR="00BB76FA">
        <w:t xml:space="preserve">, secuencias cortas de ADN que se repiten en tándem un número variable de veces, se consolidaron como el marcador dominante de la década, gracias a su elevado polimorfismo </w:t>
      </w:r>
      <w:r w:rsidR="00BB76FA" w:rsidRPr="00BB76FA">
        <w:rPr>
          <w:highlight w:val="lightGray"/>
        </w:rPr>
        <w:t>(Jarne y Lagoda, 1996)</w:t>
      </w:r>
      <w:r w:rsidR="00BB76FA">
        <w:t xml:space="preserve">. Esta cronología acaba con los </w:t>
      </w:r>
      <w:proofErr w:type="spellStart"/>
      <w:r w:rsidR="00BB76FA" w:rsidRPr="00BB76FA">
        <w:rPr>
          <w:b/>
          <w:bCs/>
        </w:rPr>
        <w:t>array</w:t>
      </w:r>
      <w:r w:rsidR="00EA6522">
        <w:rPr>
          <w:b/>
          <w:bCs/>
        </w:rPr>
        <w:t>s</w:t>
      </w:r>
      <w:proofErr w:type="spellEnd"/>
      <w:r w:rsidR="00BB76FA" w:rsidRPr="00BB76FA">
        <w:rPr>
          <w:b/>
          <w:bCs/>
        </w:rPr>
        <w:t xml:space="preserve"> </w:t>
      </w:r>
      <w:proofErr w:type="spellStart"/>
      <w:r w:rsidR="00BB76FA" w:rsidRPr="00BB76FA">
        <w:rPr>
          <w:b/>
          <w:bCs/>
        </w:rPr>
        <w:t>SNPs</w:t>
      </w:r>
      <w:proofErr w:type="spellEnd"/>
      <w:r w:rsidR="00BB76FA">
        <w:t xml:space="preserve">, plataformas que permiten </w:t>
      </w:r>
      <w:proofErr w:type="spellStart"/>
      <w:r w:rsidR="00BB76FA">
        <w:t>genotipar</w:t>
      </w:r>
      <w:proofErr w:type="spellEnd"/>
      <w:r w:rsidR="00BB76FA">
        <w:t xml:space="preserve"> simultáneamente decenas o cientos de miles de posiciones predefinidas del genoma mediante hibridación con sondas específicas, consolidadas por </w:t>
      </w:r>
      <w:r w:rsidR="00BB76FA" w:rsidRPr="00BB76FA">
        <w:rPr>
          <w:highlight w:val="lightGray"/>
        </w:rPr>
        <w:t>Holli</w:t>
      </w:r>
      <w:r w:rsidR="00A473C8">
        <w:rPr>
          <w:highlight w:val="lightGray"/>
        </w:rPr>
        <w:t>day</w:t>
      </w:r>
      <w:r w:rsidR="00BB76FA" w:rsidRPr="00BB76FA">
        <w:rPr>
          <w:highlight w:val="lightGray"/>
        </w:rPr>
        <w:t xml:space="preserve"> et al. (2018)</w:t>
      </w:r>
      <w:r w:rsidR="00BB76FA">
        <w:t xml:space="preserve"> como la técnica de genotipado de poblaciones inmediatamente anterior a la llegada de la secuenciación masiva.</w:t>
      </w:r>
    </w:p>
    <w:p w14:paraId="27B75BC3" w14:textId="6C45AADF" w:rsidR="00EA6522" w:rsidRDefault="00EA6522" w:rsidP="0099268A">
      <w:r>
        <w:t xml:space="preserve">En todos estos casos, el número de marcadores analizables por individuo se mantenía en un orden de magnitud de decenas a unos pocos miles. Para ilustrarlo: un estudio de referencia sobre estructura de poblaciones humanas a escala mundial, publicado en 2010, empleó un panel de 678 microsatélites genotipados en 1.350 individuos, y el análisis de componentes principales correspondiente se ejecutó en menos de un minuto en un ordenador de escritorio convencional </w:t>
      </w:r>
      <w:r w:rsidRPr="00EA6522">
        <w:rPr>
          <w:highlight w:val="lightGray"/>
        </w:rPr>
        <w:t>(</w:t>
      </w:r>
      <w:proofErr w:type="spellStart"/>
      <w:r w:rsidRPr="00EA6522">
        <w:rPr>
          <w:highlight w:val="lightGray"/>
        </w:rPr>
        <w:t>Jombart</w:t>
      </w:r>
      <w:proofErr w:type="spellEnd"/>
      <w:r w:rsidRPr="00EA6522">
        <w:rPr>
          <w:highlight w:val="lightGray"/>
        </w:rPr>
        <w:t xml:space="preserve"> et al., 2010)</w:t>
      </w:r>
      <w:r>
        <w:t>. Bajo estas condiciones, el cálculo del PCA no representaba ningún reto computacional.</w:t>
      </w:r>
    </w:p>
    <w:p w14:paraId="4D041E94" w14:textId="77777777" w:rsidR="00EA6522" w:rsidRDefault="00EA6522" w:rsidP="0099268A"/>
    <w:p w14:paraId="0D660F33" w14:textId="757FDB84" w:rsidR="00EA6522" w:rsidRDefault="00EA6522" w:rsidP="0099268A">
      <w:r>
        <w:t xml:space="preserve">El panorama cambió radicalmente a partir de mediados de la década de los 2000. El </w:t>
      </w:r>
      <w:r w:rsidRPr="00EA6522">
        <w:rPr>
          <w:b/>
          <w:bCs/>
        </w:rPr>
        <w:t>Proyecto Genoma Humano</w:t>
      </w:r>
      <w:r>
        <w:t xml:space="preserve">, que culminó en 2003 tras trece años de trabajo y un coste de varios miles de millones de dólares, produjo un único genoma de referencia. En los años inmediatamente posteriores surgieron tecnologías de </w:t>
      </w:r>
      <w:r w:rsidRPr="00EA6522">
        <w:rPr>
          <w:b/>
          <w:bCs/>
        </w:rPr>
        <w:t>secuenciación de nueva generación (NGS)</w:t>
      </w:r>
      <w:r>
        <w:t xml:space="preserve">, que redujeron drásticamente el coste y el tiempo de secuenciación, multiplicando al mismo tiempo el número de genomas que podían procesarse </w:t>
      </w:r>
      <w:r w:rsidRPr="00EA6522">
        <w:rPr>
          <w:highlight w:val="lightGray"/>
        </w:rPr>
        <w:t>(Goodwin et al., 2016)</w:t>
      </w:r>
      <w:r>
        <w:t xml:space="preserve">. Esta caída de costes hizo viable, por primera vez, plantear la secuenciación no de un único genoma sino de miles de individuos. Así nació el </w:t>
      </w:r>
      <w:r w:rsidRPr="00EA6522">
        <w:rPr>
          <w:b/>
          <w:bCs/>
        </w:rPr>
        <w:t>Proyecto 1000 Genomas</w:t>
      </w:r>
      <w:r>
        <w:t xml:space="preserve">, en 2008, con el objetivo de catalogar la variación genética humana mediante la secuenciación </w:t>
      </w:r>
      <w:proofErr w:type="spellStart"/>
      <w:r>
        <w:t>masiva</w:t>
      </w:r>
      <w:r w:rsidR="002741E1">
        <w:t>d</w:t>
      </w:r>
      <w:proofErr w:type="spellEnd"/>
      <w:r>
        <w:t xml:space="preserve"> e poblaciones de todo el mundo.</w:t>
      </w:r>
    </w:p>
    <w:p w14:paraId="5CC411FA" w14:textId="77777777" w:rsidR="002741E1" w:rsidRDefault="002741E1" w:rsidP="0099268A"/>
    <w:p w14:paraId="3D2CC724" w14:textId="1F95904A" w:rsidR="002741E1" w:rsidRDefault="002741E1" w:rsidP="0099268A">
      <w:r w:rsidRPr="002741E1">
        <w:rPr>
          <w:highlight w:val="lightGray"/>
        </w:rPr>
        <w:t>Andrews y Luikart (2014)</w:t>
      </w:r>
      <w:r>
        <w:t xml:space="preserve"> describen esta transformación como una revolución que convirtió la genética de poblaciones en una disciplina dirigida por datos masivos, marcando un punto de inflexión claro respecto al periodo anterior basado en </w:t>
      </w:r>
      <w:proofErr w:type="spellStart"/>
      <w:r>
        <w:t>aloenzimas</w:t>
      </w:r>
      <w:proofErr w:type="spellEnd"/>
      <w:r>
        <w:t xml:space="preserve">, </w:t>
      </w:r>
      <w:proofErr w:type="spellStart"/>
      <w:r>
        <w:t>RFLPs</w:t>
      </w:r>
      <w:proofErr w:type="spellEnd"/>
      <w:r>
        <w:t xml:space="preserve">, </w:t>
      </w:r>
      <w:proofErr w:type="spellStart"/>
      <w:r>
        <w:t>AFLPs</w:t>
      </w:r>
      <w:proofErr w:type="spellEnd"/>
      <w:r>
        <w:t xml:space="preserve"> y microsatélites. Este salto de escala, de cientos de </w:t>
      </w:r>
      <w:proofErr w:type="spellStart"/>
      <w:r>
        <w:t>marcadoes</w:t>
      </w:r>
      <w:proofErr w:type="spellEnd"/>
      <w:r>
        <w:t xml:space="preserve"> a millones de variantes por individuo, tuvo dos consecuencias directas. La primera es que el análisis manual o </w:t>
      </w:r>
      <w:proofErr w:type="spellStart"/>
      <w:r>
        <w:t>semimanual</w:t>
      </w:r>
      <w:proofErr w:type="spellEnd"/>
      <w:r>
        <w:t xml:space="preserve"> que bastaba para conjuntos de datos pequeños como el ilustrado por </w:t>
      </w:r>
      <w:r w:rsidRPr="002741E1">
        <w:rPr>
          <w:highlight w:val="lightGray"/>
        </w:rPr>
        <w:t>Jombart et al. (2010)</w:t>
      </w:r>
      <w:r>
        <w:t>, dejó de ser viable: se hicieron necesarias herramientas computacionales específicamente diseñadas para manejar matrices de datos de varios órdenes de magnitud mayores. La segunda es la necesidad de un formato estandarizado que permitiera representar, almacenar e intercambiar esos millones de variantes de forma consistente entre laboratorios, pipelines y especies. Fue precisamente en el marco del Proyecto 1000 Genomas donde se desarrolló, en 2010, e</w:t>
      </w:r>
      <w:r w:rsidRPr="002741E1">
        <w:rPr>
          <w:b/>
          <w:bCs/>
        </w:rPr>
        <w:t xml:space="preserve">l </w:t>
      </w:r>
      <w:proofErr w:type="spellStart"/>
      <w:r w:rsidRPr="002741E1">
        <w:rPr>
          <w:b/>
          <w:bCs/>
        </w:rPr>
        <w:t>Variant</w:t>
      </w:r>
      <w:proofErr w:type="spellEnd"/>
      <w:r w:rsidRPr="002741E1">
        <w:rPr>
          <w:b/>
          <w:bCs/>
        </w:rPr>
        <w:t xml:space="preserve"> Call </w:t>
      </w:r>
      <w:proofErr w:type="spellStart"/>
      <w:r w:rsidRPr="002741E1">
        <w:rPr>
          <w:b/>
          <w:bCs/>
        </w:rPr>
        <w:t>Format</w:t>
      </w:r>
      <w:proofErr w:type="spellEnd"/>
      <w:r w:rsidRPr="002741E1">
        <w:rPr>
          <w:b/>
          <w:bCs/>
        </w:rPr>
        <w:t xml:space="preserve"> (VCF)</w:t>
      </w:r>
      <w:r>
        <w:t>.</w:t>
      </w:r>
    </w:p>
    <w:p w14:paraId="245ED73D" w14:textId="70596D50" w:rsidR="002741E1" w:rsidRDefault="002741E1" w:rsidP="0099268A">
      <w:r>
        <w:t xml:space="preserve">El </w:t>
      </w:r>
      <w:proofErr w:type="spellStart"/>
      <w:r>
        <w:t>Variant</w:t>
      </w:r>
      <w:proofErr w:type="spellEnd"/>
      <w:r>
        <w:t xml:space="preserve"> Call </w:t>
      </w:r>
      <w:proofErr w:type="spellStart"/>
      <w:r>
        <w:t>Format</w:t>
      </w:r>
      <w:proofErr w:type="spellEnd"/>
      <w:r>
        <w:t xml:space="preserve"> fue descrito formalmente por </w:t>
      </w:r>
      <w:r w:rsidRPr="002741E1">
        <w:rPr>
          <w:highlight w:val="lightGray"/>
        </w:rPr>
        <w:t>Danecek et al. (2011)</w:t>
      </w:r>
      <w:r>
        <w:t xml:space="preserve">, entre ellos Petr Danecek del Wellcome Trust Sanger </w:t>
      </w:r>
      <w:proofErr w:type="spellStart"/>
      <w:r>
        <w:t>Institute</w:t>
      </w:r>
      <w:proofErr w:type="spellEnd"/>
      <w:r>
        <w:t>, una de las instituciones que lideraban el proyecto. Su creación respondió a una necesidad muy concreta: el proyecto generaba para cada individuo secuenciado millones de pos</w:t>
      </w:r>
      <w:r w:rsidR="00C459F4">
        <w:t>i</w:t>
      </w:r>
      <w:r>
        <w:t>ciones del genoma en las que se había detectado una variante respecto a la secuencia de referencia y no existía ningún formato capaz de representar esa información, para miles de individuos simultáneament</w:t>
      </w:r>
      <w:r w:rsidR="00C459F4">
        <w:t>e</w:t>
      </w:r>
      <w:r>
        <w:t>, de forma compacta</w:t>
      </w:r>
      <w:r w:rsidR="00C459F4">
        <w:t>, legible por máquina y compartible entre los distintos centros que colaboraban en el proyecto.</w:t>
      </w:r>
    </w:p>
    <w:p w14:paraId="0CDF1146" w14:textId="02542465" w:rsidR="00C459F4" w:rsidRDefault="00C459F4" w:rsidP="0099268A">
      <w:r>
        <w:t>Un archivo VCF es un fichero de texto plano organizado en dos pares: una cabecera, que describe los metadatos del archivo (genoma de referencia utilizado, programas empleados, definición de campos), y un cuerpo, en el que cada línea representa la posición del genoma en la que se ha detectado una variante. Para cada variante se registran su localización, las secuencias de referencia y la alternativa una serie de medidas de calidad y, para cada muestra incluida en el archivo, su genotipo en esa posición. Esta estructura permite representar de forma unificada distintos tipos de variantes como polimorfismos de un solo nucleótido, inserciones, deleciones y variantes estructurales, todo dentro de un mismo archivo.</w:t>
      </w:r>
    </w:p>
    <w:p w14:paraId="600E00B0" w14:textId="6CCC750C" w:rsidR="00C459F4" w:rsidRDefault="00C459F4" w:rsidP="0099268A">
      <w:r>
        <w:t>La adopción del VCF se extendió rápidamente más allá del Proyecto 1000 Genomas. Se convirtió en el formato de salida estándar de los principales programas de llamadas de variantes (</w:t>
      </w:r>
      <w:proofErr w:type="spellStart"/>
      <w:r>
        <w:t>variant</w:t>
      </w:r>
      <w:proofErr w:type="spellEnd"/>
      <w:r>
        <w:t xml:space="preserve"> </w:t>
      </w:r>
      <w:proofErr w:type="spellStart"/>
      <w:r>
        <w:t>callinng</w:t>
      </w:r>
      <w:proofErr w:type="spellEnd"/>
      <w:r>
        <w:t>) y, en consecuencia, en el punto de entrada habitual para cualquier herramienta de análisis posterior, incluida la desarrollada en este TFG.</w:t>
      </w:r>
    </w:p>
    <w:p w14:paraId="46E51669" w14:textId="77777777" w:rsidR="00C459F4" w:rsidRDefault="00C459F4" w:rsidP="0099268A"/>
    <w:p w14:paraId="68A97263" w14:textId="7814AE8E" w:rsidR="00C459F4" w:rsidRDefault="00C459F4" w:rsidP="0099268A">
      <w:r>
        <w:t>La obtención de un archivo VCF</w:t>
      </w:r>
      <w:r w:rsidR="00EB7FC8">
        <w:t xml:space="preserve"> a partir de las lecturas brutas que produce un secuenciador no es un proceso directo, sino el resultado de un pipeline computacional de varias etapas conocido como </w:t>
      </w:r>
      <w:proofErr w:type="spellStart"/>
      <w:r w:rsidR="00EB7FC8">
        <w:t>variant</w:t>
      </w:r>
      <w:proofErr w:type="spellEnd"/>
      <w:r w:rsidR="00EB7FC8">
        <w:t xml:space="preserve"> </w:t>
      </w:r>
      <w:proofErr w:type="spellStart"/>
      <w:r w:rsidR="00EB7FC8">
        <w:t>calling</w:t>
      </w:r>
      <w:proofErr w:type="spellEnd"/>
      <w:r w:rsidR="00EB7FC8">
        <w:t>. La primera etapa es el alineamiento; cada uno de los millones de fragmentos cortos de ADN (</w:t>
      </w:r>
      <w:proofErr w:type="spellStart"/>
      <w:r w:rsidR="00EB7FC8">
        <w:t>reads</w:t>
      </w:r>
      <w:proofErr w:type="spellEnd"/>
      <w:r w:rsidR="00EB7FC8">
        <w:t xml:space="preserve">) leídos por el secuenciador debe ubicarse en su posición correspondiente dentro del genoma de referencia de la especie. Esta tarea, trivial para un único fragmento, se vuelve computacionalmente exigente cuando hay que repetirla cientos de millones de veces por muestra, y dio lugar al desarrollo de algoritmos especializados como el </w:t>
      </w:r>
      <w:r w:rsidR="00EB7FC8" w:rsidRPr="00EB7FC8">
        <w:rPr>
          <w:b/>
          <w:bCs/>
        </w:rPr>
        <w:t>Burrows-Wheeler Aligner (BWA)</w:t>
      </w:r>
      <w:r w:rsidR="00EB7FC8">
        <w:t xml:space="preserve">, descrito por </w:t>
      </w:r>
      <w:r w:rsidR="00EB7FC8" w:rsidRPr="00EB7FC8">
        <w:rPr>
          <w:highlight w:val="lightGray"/>
        </w:rPr>
        <w:t>Li y Durbin (2009)</w:t>
      </w:r>
      <w:r w:rsidR="00EB7FC8">
        <w:t>, que se convirtió en una de las herramientas de alineamiento más utilizadas de la era NGS. El resultado de esta etapa se almacena en el formato</w:t>
      </w:r>
      <w:r w:rsidR="00EB7FC8" w:rsidRPr="00EB7FC8">
        <w:rPr>
          <w:b/>
          <w:bCs/>
        </w:rPr>
        <w:t xml:space="preserve"> </w:t>
      </w:r>
      <w:proofErr w:type="spellStart"/>
      <w:r w:rsidR="00EB7FC8" w:rsidRPr="00EB7FC8">
        <w:rPr>
          <w:b/>
          <w:bCs/>
        </w:rPr>
        <w:t>Sequence</w:t>
      </w:r>
      <w:proofErr w:type="spellEnd"/>
      <w:r w:rsidR="00EB7FC8" w:rsidRPr="00EB7FC8">
        <w:rPr>
          <w:b/>
          <w:bCs/>
        </w:rPr>
        <w:t xml:space="preserve"> </w:t>
      </w:r>
      <w:proofErr w:type="spellStart"/>
      <w:r w:rsidR="00EB7FC8" w:rsidRPr="00EB7FC8">
        <w:rPr>
          <w:b/>
          <w:bCs/>
        </w:rPr>
        <w:t>Alignment</w:t>
      </w:r>
      <w:proofErr w:type="spellEnd"/>
      <w:r w:rsidR="00EB7FC8" w:rsidRPr="00EB7FC8">
        <w:rPr>
          <w:b/>
          <w:bCs/>
        </w:rPr>
        <w:t>/</w:t>
      </w:r>
      <w:proofErr w:type="spellStart"/>
      <w:r w:rsidR="00EB7FC8" w:rsidRPr="00EB7FC8">
        <w:rPr>
          <w:b/>
          <w:bCs/>
        </w:rPr>
        <w:t>Map</w:t>
      </w:r>
      <w:proofErr w:type="spellEnd"/>
      <w:r w:rsidR="00EB7FC8" w:rsidRPr="00EB7FC8">
        <w:rPr>
          <w:b/>
          <w:bCs/>
        </w:rPr>
        <w:t xml:space="preserve"> (SAM) </w:t>
      </w:r>
      <w:r w:rsidR="00EB7FC8">
        <w:t xml:space="preserve">y su variante binaria comprimida </w:t>
      </w:r>
      <w:r w:rsidR="00EB7FC8" w:rsidRPr="00EB7FC8">
        <w:rPr>
          <w:b/>
          <w:bCs/>
        </w:rPr>
        <w:t>(BAM)</w:t>
      </w:r>
      <w:r w:rsidR="00EB7FC8">
        <w:t xml:space="preserve">, descritos junto con el paquete </w:t>
      </w:r>
      <w:proofErr w:type="spellStart"/>
      <w:r w:rsidR="00EB7FC8" w:rsidRPr="00EB7FC8">
        <w:rPr>
          <w:b/>
          <w:bCs/>
        </w:rPr>
        <w:t>SAMtools</w:t>
      </w:r>
      <w:proofErr w:type="spellEnd"/>
      <w:r w:rsidR="00EB7FC8" w:rsidRPr="00EB7FC8">
        <w:rPr>
          <w:b/>
          <w:bCs/>
        </w:rPr>
        <w:t xml:space="preserve"> </w:t>
      </w:r>
      <w:r w:rsidR="00EB7FC8">
        <w:t xml:space="preserve">por </w:t>
      </w:r>
      <w:r w:rsidR="00EB7FC8" w:rsidRPr="00EB7FC8">
        <w:rPr>
          <w:highlight w:val="lightGray"/>
        </w:rPr>
        <w:t>Li et al. (2009)</w:t>
      </w:r>
      <w:r w:rsidR="00EB7FC8">
        <w:t xml:space="preserve">, desarrollados, al igual que el VCF, en el marco del Proyecto 1000 Genomas, cuyo Data Processing </w:t>
      </w:r>
      <w:proofErr w:type="spellStart"/>
      <w:r w:rsidR="00EB7FC8">
        <w:t>Subgroup</w:t>
      </w:r>
      <w:proofErr w:type="spellEnd"/>
      <w:r w:rsidR="00EB7FC8">
        <w:t xml:space="preserve"> figura entre los autores de ambas publicaciones.</w:t>
      </w:r>
    </w:p>
    <w:p w14:paraId="6CE3F43B" w14:textId="28BC85D9" w:rsidR="00EB7FC8" w:rsidRDefault="00EB7FC8" w:rsidP="0099268A">
      <w:r>
        <w:t xml:space="preserve">Una vez alineadas las lecturas, la segunda etapa consiste en recorrer el genoma posición por posición y determinar, para cada una, si la muestra coincide con la referencia o presenta una </w:t>
      </w:r>
      <w:proofErr w:type="spellStart"/>
      <w:r>
        <w:t>cariante</w:t>
      </w:r>
      <w:proofErr w:type="spellEnd"/>
      <w:r>
        <w:t xml:space="preserve">, asignando además medidas de calidad y confianza a cada llamada. El </w:t>
      </w:r>
      <w:proofErr w:type="spellStart"/>
      <w:r w:rsidRPr="003F2463">
        <w:rPr>
          <w:b/>
          <w:bCs/>
        </w:rPr>
        <w:t>Genome</w:t>
      </w:r>
      <w:proofErr w:type="spellEnd"/>
      <w:r w:rsidRPr="003F2463">
        <w:rPr>
          <w:b/>
          <w:bCs/>
        </w:rPr>
        <w:t xml:space="preserve"> </w:t>
      </w:r>
      <w:proofErr w:type="spellStart"/>
      <w:r w:rsidRPr="003F2463">
        <w:rPr>
          <w:b/>
          <w:bCs/>
        </w:rPr>
        <w:t>Analysis</w:t>
      </w:r>
      <w:proofErr w:type="spellEnd"/>
      <w:r w:rsidRPr="003F2463">
        <w:rPr>
          <w:b/>
          <w:bCs/>
        </w:rPr>
        <w:t xml:space="preserve"> </w:t>
      </w:r>
      <w:proofErr w:type="spellStart"/>
      <w:r w:rsidRPr="003F2463">
        <w:rPr>
          <w:b/>
          <w:bCs/>
        </w:rPr>
        <w:t>Toolkit</w:t>
      </w:r>
      <w:proofErr w:type="spellEnd"/>
      <w:r w:rsidRPr="003F2463">
        <w:rPr>
          <w:b/>
          <w:bCs/>
        </w:rPr>
        <w:t xml:space="preserve"> (GATK)</w:t>
      </w:r>
      <w:r>
        <w:t xml:space="preserve">, descrito por </w:t>
      </w:r>
      <w:r w:rsidRPr="003F2463">
        <w:rPr>
          <w:highlight w:val="lightGray"/>
        </w:rPr>
        <w:t>McKenna et al. (2010)</w:t>
      </w:r>
      <w:r>
        <w:t xml:space="preserve">, se convirtió en el estándar de facto para esta segunda etapa: su adopción en proyectos a gran escala </w:t>
      </w:r>
      <w:r w:rsidR="003F2463">
        <w:t>como el Proyecto 1000 Genomas contribuyó decisivamente a consolidar el VCF como formato de salida estándar de estos pipelines, dado que GATK lo generaba de forma nativa.</w:t>
      </w:r>
    </w:p>
    <w:p w14:paraId="0203BD3F" w14:textId="6CF9F5A7" w:rsidR="00EB7FC8" w:rsidRDefault="003F2463" w:rsidP="0099268A">
      <w:r>
        <w:t xml:space="preserve">El resultado final del alineamiento con BAM y </w:t>
      </w:r>
      <w:proofErr w:type="spellStart"/>
      <w:r>
        <w:t>SAMtools</w:t>
      </w:r>
      <w:proofErr w:type="spellEnd"/>
      <w:r>
        <w:t xml:space="preserve"> seguido de </w:t>
      </w:r>
      <w:proofErr w:type="spellStart"/>
      <w:r>
        <w:t>varíant</w:t>
      </w:r>
      <w:proofErr w:type="spellEnd"/>
      <w:r>
        <w:t xml:space="preserve"> </w:t>
      </w:r>
      <w:proofErr w:type="spellStart"/>
      <w:r>
        <w:t>calling</w:t>
      </w:r>
      <w:proofErr w:type="spellEnd"/>
      <w:r>
        <w:t xml:space="preserve"> con GATK es, precisamente, el archivo VCF: un fichero que ya no contiene lecturas individuales, sino una lista consolidada de las posiciones del genoma en las que la muestra difiere de la referencia, lista para ser analizada. Es este archivo, y no las lecturas brutas, el que constituye el punto de entrada de la aplicación desarrollada en este TFG.</w:t>
      </w:r>
    </w:p>
    <w:p w14:paraId="7EC8ED00" w14:textId="77777777" w:rsidR="003F2463" w:rsidRDefault="003F2463" w:rsidP="0099268A"/>
    <w:p w14:paraId="1326CA9A" w14:textId="3193B581" w:rsidR="003F2463" w:rsidRDefault="003F2463" w:rsidP="0099268A">
      <w:r>
        <w:t xml:space="preserve">El resultado de este proceso es un archivo VCF que puede contener información de millones de posiciones variables para cada individuo de la población estudiada. Esta cantidad de información, aunque valiosa, no es directamente interpretable. Ningún investigador puede examinar manualmente millones de columnas de datos para responder a la pregunta de partida: qué estructura tiene la variación genética dentro de la población y entre poblaciones. Se hace necesario, por tanto, un paso de síntesis que condense esa información en un número reducido de variables que conserven la mayor parte posible de la señal relevante y que puedan representarse e interpretarse visualmente. A este tipo de técnicas se las conoce como métodos de reducción de dimensionalidad, entre los que destacan en genética de poblaciones, el </w:t>
      </w:r>
      <w:r w:rsidRPr="003F2463">
        <w:rPr>
          <w:b/>
          <w:bCs/>
        </w:rPr>
        <w:t>Análisis de Componentes Principales (PCA)</w:t>
      </w:r>
      <w:r>
        <w:t xml:space="preserve"> y el </w:t>
      </w:r>
      <w:r w:rsidRPr="003F2463">
        <w:rPr>
          <w:b/>
          <w:bCs/>
        </w:rPr>
        <w:t>Análisis de Coordenadas Principales (</w:t>
      </w:r>
      <w:proofErr w:type="spellStart"/>
      <w:r w:rsidRPr="003F2463">
        <w:rPr>
          <w:b/>
          <w:bCs/>
        </w:rPr>
        <w:t>PCoA</w:t>
      </w:r>
      <w:proofErr w:type="spellEnd"/>
      <w:r w:rsidRPr="003F2463">
        <w:rPr>
          <w:b/>
          <w:bCs/>
        </w:rPr>
        <w:t>)</w:t>
      </w:r>
      <w:r>
        <w:t>.</w:t>
      </w:r>
    </w:p>
    <w:p w14:paraId="3EEAF939" w14:textId="77777777" w:rsidR="003F2463" w:rsidRDefault="003F2463" w:rsidP="0099268A"/>
    <w:p w14:paraId="4376BF89" w14:textId="69BFDE67" w:rsidR="003F2463" w:rsidRDefault="003F2463" w:rsidP="0099268A">
      <w:r>
        <w:t xml:space="preserve">La disponibilidad de PCA y </w:t>
      </w:r>
      <w:proofErr w:type="spellStart"/>
      <w:r>
        <w:t>PCoA</w:t>
      </w:r>
      <w:proofErr w:type="spellEnd"/>
      <w:r>
        <w:t xml:space="preserve"> no ha sido, sin embargo, suficiente para que estos métodos resulten accesibles a cualquier investigador. Como se desarrolla en los apartados siguientes, las herramientas existentes para aplicarlos sobre datos genómicos imponen barreras técnicas como líneas de comando, instalación local o necesidad de programación, que excluyen a una parte significativa de la comunidad investigadora (apartado 1.2.2), en un </w:t>
      </w:r>
      <w:r>
        <w:lastRenderedPageBreak/>
        <w:t>contexto en el que la falta de accesibilidad de las herramientas bioinformáticas es un problema documentado y persistente (apartado 1.2.3).</w:t>
      </w:r>
    </w:p>
    <w:p w14:paraId="03A6413C" w14:textId="77777777" w:rsidR="00517959" w:rsidRDefault="00517959" w:rsidP="0099268A"/>
    <w:p w14:paraId="7DF31D48" w14:textId="46D01FF2" w:rsidR="00624F05" w:rsidRPr="00624F05" w:rsidRDefault="00517959" w:rsidP="00A473C8">
      <w:pPr>
        <w:pStyle w:val="Ttulo4"/>
        <w:ind w:left="708" w:hanging="708"/>
      </w:pPr>
      <w:r>
        <w:t xml:space="preserve">FUENTES </w:t>
      </w:r>
      <w:r w:rsidR="00741D81">
        <w:t>confirmadas por Gestora Bibliográfica</w:t>
      </w:r>
      <w:r>
        <w:t>:</w:t>
      </w:r>
    </w:p>
    <w:p w14:paraId="7631D844" w14:textId="4A10E59F" w:rsidR="00517959" w:rsidRDefault="00517959" w:rsidP="00517959">
      <w:pPr>
        <w:rPr>
          <w:lang w:val="en-US"/>
        </w:rPr>
      </w:pPr>
      <w:r w:rsidRPr="00517959">
        <w:rPr>
          <w:lang w:val="en-US"/>
        </w:rPr>
        <w:t xml:space="preserve">Andrews, K. R., &amp; Luikart, G. (2014). Recent novel approaches for population genomics data analysis. Molecular Ecology, 23(7), 1661–1667. </w:t>
      </w:r>
      <w:hyperlink r:id="rId7" w:history="1">
        <w:r w:rsidR="00624F05" w:rsidRPr="00826291">
          <w:rPr>
            <w:rStyle w:val="Hipervnculo"/>
            <w:lang w:val="en-US"/>
          </w:rPr>
          <w:t>https://doi.org/10.1111/mec.12686</w:t>
        </w:r>
      </w:hyperlink>
    </w:p>
    <w:p w14:paraId="714293D9" w14:textId="77777777" w:rsidR="00517959" w:rsidRPr="00517959" w:rsidRDefault="00517959" w:rsidP="00517959">
      <w:pPr>
        <w:rPr>
          <w:lang w:val="en-US"/>
        </w:rPr>
      </w:pPr>
      <w:r w:rsidRPr="00517959">
        <w:rPr>
          <w:lang w:val="en-US"/>
        </w:rPr>
        <w:t>Avise, J. C. (1994). Molecular markers, natural history and evolution. Chapman &amp; Hall.</w:t>
      </w:r>
    </w:p>
    <w:p w14:paraId="222EE272" w14:textId="77777777" w:rsidR="00517959" w:rsidRDefault="00517959" w:rsidP="00517959">
      <w:pPr>
        <w:rPr>
          <w:lang w:val="en-US"/>
        </w:rPr>
      </w:pPr>
      <w:r w:rsidRPr="00517959">
        <w:rPr>
          <w:lang w:val="en-US"/>
        </w:rPr>
        <w:t>Botstein, D., White, R. L., Skolnick, M., &amp; Davis, R. W. (1980). Construction of a genetic linkage map in man using restriction fragment length polymorphisms. American Journal of Human Genetics, 32(3), 314–331.</w:t>
      </w:r>
    </w:p>
    <w:p w14:paraId="7BB1F791" w14:textId="005282E7" w:rsidR="00517959" w:rsidRDefault="00517959" w:rsidP="00517959">
      <w:pPr>
        <w:rPr>
          <w:lang w:val="en-US"/>
        </w:rPr>
      </w:pPr>
      <w:r w:rsidRPr="00517959">
        <w:rPr>
          <w:lang w:val="en-US"/>
        </w:rPr>
        <w:t xml:space="preserve">Danecek, P., Auton, A., </w:t>
      </w:r>
      <w:proofErr w:type="spellStart"/>
      <w:r w:rsidRPr="00517959">
        <w:rPr>
          <w:lang w:val="en-US"/>
        </w:rPr>
        <w:t>Abecasis</w:t>
      </w:r>
      <w:proofErr w:type="spellEnd"/>
      <w:r w:rsidRPr="00517959">
        <w:rPr>
          <w:lang w:val="en-US"/>
        </w:rPr>
        <w:t xml:space="preserve">, G., Albers, C. A., Banks, E., </w:t>
      </w:r>
      <w:proofErr w:type="spellStart"/>
      <w:r w:rsidRPr="00517959">
        <w:rPr>
          <w:lang w:val="en-US"/>
        </w:rPr>
        <w:t>DePristo</w:t>
      </w:r>
      <w:proofErr w:type="spellEnd"/>
      <w:r w:rsidRPr="00517959">
        <w:rPr>
          <w:lang w:val="en-US"/>
        </w:rPr>
        <w:t xml:space="preserve">, M. A., Handsaker, R. E., Lunter, G., Marth, G. T., Sherry, S. T., McVean, G., Durbin, R., &amp; 1000 Genomes Project Analysis Group. (2011). The variant call format and </w:t>
      </w:r>
      <w:proofErr w:type="spellStart"/>
      <w:r w:rsidRPr="00517959">
        <w:rPr>
          <w:lang w:val="en-US"/>
        </w:rPr>
        <w:t>VCFtools</w:t>
      </w:r>
      <w:proofErr w:type="spellEnd"/>
      <w:r w:rsidRPr="00517959">
        <w:rPr>
          <w:lang w:val="en-US"/>
        </w:rPr>
        <w:t xml:space="preserve">. Bioinformatics, 27(15), 2156–2158. </w:t>
      </w:r>
      <w:hyperlink r:id="rId8" w:history="1">
        <w:r w:rsidR="00624F05" w:rsidRPr="00826291">
          <w:rPr>
            <w:rStyle w:val="Hipervnculo"/>
            <w:lang w:val="en-US"/>
          </w:rPr>
          <w:t>https://doi.org/10.1093/bioinformatics/btr330</w:t>
        </w:r>
      </w:hyperlink>
    </w:p>
    <w:p w14:paraId="757372CE" w14:textId="22E6F295" w:rsidR="00517959" w:rsidRDefault="00517959" w:rsidP="00517959">
      <w:pPr>
        <w:rPr>
          <w:lang w:val="en-US"/>
        </w:rPr>
      </w:pPr>
      <w:r w:rsidRPr="00517959">
        <w:rPr>
          <w:lang w:val="en-US"/>
        </w:rPr>
        <w:t xml:space="preserve">Goodwin, S., McPherson, J. D., &amp; McCombie, W. R. (2016). Coming of age: ten years of next-generation sequencing technologies. Nature Reviews Genetics, 17(6), 333–351. </w:t>
      </w:r>
      <w:hyperlink r:id="rId9" w:history="1">
        <w:r w:rsidR="00624F05" w:rsidRPr="00826291">
          <w:rPr>
            <w:rStyle w:val="Hipervnculo"/>
            <w:lang w:val="en-US"/>
          </w:rPr>
          <w:t>https://doi.org/10.1038/nrg.2016.49</w:t>
        </w:r>
      </w:hyperlink>
    </w:p>
    <w:p w14:paraId="6831166B" w14:textId="37A66D80" w:rsidR="00624F05" w:rsidRDefault="00624F05" w:rsidP="00517959">
      <w:pPr>
        <w:rPr>
          <w:lang w:val="en-US"/>
        </w:rPr>
      </w:pPr>
      <w:r w:rsidRPr="00624F05">
        <w:rPr>
          <w:lang w:val="en-US"/>
        </w:rPr>
        <w:t xml:space="preserve">Hartl, D. L., &amp; Clark, A. G. (2007). </w:t>
      </w:r>
      <w:r w:rsidRPr="00624F05">
        <w:rPr>
          <w:i/>
          <w:iCs/>
          <w:lang w:val="en-US"/>
        </w:rPr>
        <w:t>Principles of population genetics</w:t>
      </w:r>
      <w:r w:rsidRPr="00624F05">
        <w:rPr>
          <w:lang w:val="en-US"/>
        </w:rPr>
        <w:t xml:space="preserve"> (4.ª ed.). Sinauer Associates.</w:t>
      </w:r>
    </w:p>
    <w:p w14:paraId="69082FDC" w14:textId="77AEB10A" w:rsidR="00517959" w:rsidRDefault="00517959" w:rsidP="00517959">
      <w:pPr>
        <w:rPr>
          <w:lang w:val="en-US"/>
        </w:rPr>
      </w:pPr>
      <w:r w:rsidRPr="00517959">
        <w:rPr>
          <w:lang w:val="en-US"/>
        </w:rPr>
        <w:t xml:space="preserve">Holliday, J. A., Hallerman, E. M., &amp; Haak, D. C. (2018). Genotyping and sequencing technologies in population genetics and genomics. En O. P. </w:t>
      </w:r>
      <w:proofErr w:type="spellStart"/>
      <w:r w:rsidRPr="00517959">
        <w:rPr>
          <w:lang w:val="en-US"/>
        </w:rPr>
        <w:t>Rajora</w:t>
      </w:r>
      <w:proofErr w:type="spellEnd"/>
      <w:r w:rsidRPr="00517959">
        <w:rPr>
          <w:lang w:val="en-US"/>
        </w:rPr>
        <w:t xml:space="preserve"> (Ed.), Population genomics: Concepts, approaches and applications (pp. 83–125). Springer. </w:t>
      </w:r>
      <w:hyperlink r:id="rId10" w:history="1">
        <w:r w:rsidR="00624F05" w:rsidRPr="00826291">
          <w:rPr>
            <w:rStyle w:val="Hipervnculo"/>
            <w:lang w:val="en-US"/>
          </w:rPr>
          <w:t>https://doi.org/10.1007/13836_2017_5</w:t>
        </w:r>
      </w:hyperlink>
    </w:p>
    <w:p w14:paraId="7A2101D4" w14:textId="63056201" w:rsidR="00517959" w:rsidRDefault="00517959" w:rsidP="00517959">
      <w:pPr>
        <w:rPr>
          <w:lang w:val="en-US"/>
        </w:rPr>
      </w:pPr>
      <w:r w:rsidRPr="00517959">
        <w:rPr>
          <w:lang w:val="en-US"/>
        </w:rPr>
        <w:t xml:space="preserve">Jarne, P., &amp; Lagoda, P. J. L. (1996). Microsatellites, from molecules to populations and back. Trends in Ecology &amp; Evolution, 11(10), 424–429. </w:t>
      </w:r>
      <w:hyperlink r:id="rId11" w:history="1">
        <w:r w:rsidR="00624F05" w:rsidRPr="00826291">
          <w:rPr>
            <w:rStyle w:val="Hipervnculo"/>
            <w:lang w:val="en-US"/>
          </w:rPr>
          <w:t>https://doi.org/10.1016/0169-5347(96)10049-5</w:t>
        </w:r>
      </w:hyperlink>
    </w:p>
    <w:p w14:paraId="5F502C55" w14:textId="61527841" w:rsidR="00517959" w:rsidRDefault="00517959" w:rsidP="00517959">
      <w:proofErr w:type="spellStart"/>
      <w:r w:rsidRPr="00517959">
        <w:rPr>
          <w:lang w:val="en-US"/>
        </w:rPr>
        <w:t>Jombart</w:t>
      </w:r>
      <w:proofErr w:type="spellEnd"/>
      <w:r w:rsidRPr="00517959">
        <w:rPr>
          <w:lang w:val="en-US"/>
        </w:rPr>
        <w:t xml:space="preserve">, T., </w:t>
      </w:r>
      <w:proofErr w:type="spellStart"/>
      <w:r w:rsidRPr="00517959">
        <w:rPr>
          <w:lang w:val="en-US"/>
        </w:rPr>
        <w:t>Devillard</w:t>
      </w:r>
      <w:proofErr w:type="spellEnd"/>
      <w:r w:rsidRPr="00517959">
        <w:rPr>
          <w:lang w:val="en-US"/>
        </w:rPr>
        <w:t xml:space="preserve">, S., &amp; </w:t>
      </w:r>
      <w:proofErr w:type="spellStart"/>
      <w:r w:rsidRPr="00517959">
        <w:rPr>
          <w:lang w:val="en-US"/>
        </w:rPr>
        <w:t>Balloux</w:t>
      </w:r>
      <w:proofErr w:type="spellEnd"/>
      <w:r w:rsidRPr="00517959">
        <w:rPr>
          <w:lang w:val="en-US"/>
        </w:rPr>
        <w:t xml:space="preserve">, F. (2010). Discriminant analysis of principal components: a new method for the analysis of genetically structured populations. </w:t>
      </w:r>
      <w:r>
        <w:t xml:space="preserve">BMC </w:t>
      </w:r>
      <w:proofErr w:type="spellStart"/>
      <w:r>
        <w:t>Genetics</w:t>
      </w:r>
      <w:proofErr w:type="spellEnd"/>
      <w:r>
        <w:t xml:space="preserve">, 11, artículo 94. </w:t>
      </w:r>
      <w:hyperlink r:id="rId12" w:history="1">
        <w:r w:rsidR="00624F05" w:rsidRPr="00826291">
          <w:rPr>
            <w:rStyle w:val="Hipervnculo"/>
          </w:rPr>
          <w:t>https://doi.org/10.1186/1471-2156-11-94</w:t>
        </w:r>
      </w:hyperlink>
    </w:p>
    <w:p w14:paraId="21C19EB5" w14:textId="2D08CABC" w:rsidR="00517959" w:rsidRDefault="00517959" w:rsidP="00517959">
      <w:pPr>
        <w:rPr>
          <w:lang w:val="en-US"/>
        </w:rPr>
      </w:pPr>
      <w:r>
        <w:t xml:space="preserve">Lewontin, R. C., &amp; Hubby, J. L. (1966). </w:t>
      </w:r>
      <w:r w:rsidRPr="00517959">
        <w:rPr>
          <w:lang w:val="en-US"/>
        </w:rPr>
        <w:t xml:space="preserve">A molecular approach to the study of genic heterozygosity in natural populations. II. Amount of variation and degree of heterozygosity in natural populations of Drosophila </w:t>
      </w:r>
      <w:proofErr w:type="spellStart"/>
      <w:r w:rsidRPr="00517959">
        <w:rPr>
          <w:lang w:val="en-US"/>
        </w:rPr>
        <w:t>pseudoobscura</w:t>
      </w:r>
      <w:proofErr w:type="spellEnd"/>
      <w:r w:rsidRPr="00517959">
        <w:rPr>
          <w:lang w:val="en-US"/>
        </w:rPr>
        <w:t xml:space="preserve">. Genetics, 54(2), 595–609. </w:t>
      </w:r>
      <w:hyperlink r:id="rId13" w:history="1">
        <w:r w:rsidR="00624F05" w:rsidRPr="00826291">
          <w:rPr>
            <w:rStyle w:val="Hipervnculo"/>
            <w:lang w:val="en-US"/>
          </w:rPr>
          <w:t>https://doi.org/10.1093/genetics/54.2.595</w:t>
        </w:r>
      </w:hyperlink>
    </w:p>
    <w:p w14:paraId="1BF259D3" w14:textId="59B2807D" w:rsidR="00517959" w:rsidRDefault="00517959" w:rsidP="00517959">
      <w:pPr>
        <w:rPr>
          <w:lang w:val="en-US"/>
        </w:rPr>
      </w:pPr>
      <w:r w:rsidRPr="00517959">
        <w:rPr>
          <w:lang w:val="en-US"/>
        </w:rPr>
        <w:t xml:space="preserve">Li, H., &amp; Durbin, R. (2009). Fast and accurate short read alignment with Burrows-Wheeler transform. Bioinformatics, 25(14), 1754–1760. </w:t>
      </w:r>
      <w:hyperlink r:id="rId14" w:history="1">
        <w:r w:rsidR="00624F05" w:rsidRPr="00826291">
          <w:rPr>
            <w:rStyle w:val="Hipervnculo"/>
            <w:lang w:val="en-US"/>
          </w:rPr>
          <w:t>https://doi.org/10.1093/bioinformatics/btp324</w:t>
        </w:r>
      </w:hyperlink>
    </w:p>
    <w:p w14:paraId="6D93E421" w14:textId="48CFCECA" w:rsidR="00624F05" w:rsidRDefault="00517959" w:rsidP="00517959">
      <w:pPr>
        <w:rPr>
          <w:lang w:val="en-US"/>
        </w:rPr>
      </w:pPr>
      <w:r w:rsidRPr="00517959">
        <w:rPr>
          <w:lang w:val="en-US"/>
        </w:rPr>
        <w:t xml:space="preserve">Li, H., Handsaker, B., </w:t>
      </w:r>
      <w:proofErr w:type="spellStart"/>
      <w:r w:rsidRPr="00517959">
        <w:rPr>
          <w:lang w:val="en-US"/>
        </w:rPr>
        <w:t>Wysoker</w:t>
      </w:r>
      <w:proofErr w:type="spellEnd"/>
      <w:r w:rsidRPr="00517959">
        <w:rPr>
          <w:lang w:val="en-US"/>
        </w:rPr>
        <w:t xml:space="preserve">, A., Fennell, T., Ruan, J., Homer, N., Marth, G., </w:t>
      </w:r>
      <w:proofErr w:type="spellStart"/>
      <w:r w:rsidRPr="00517959">
        <w:rPr>
          <w:lang w:val="en-US"/>
        </w:rPr>
        <w:t>Abecasis</w:t>
      </w:r>
      <w:proofErr w:type="spellEnd"/>
      <w:r w:rsidRPr="00517959">
        <w:rPr>
          <w:lang w:val="en-US"/>
        </w:rPr>
        <w:t xml:space="preserve">, G., Durbin, R., &amp; 1000 Genome Project Data Processing Subgroup. (2009). The Sequence Alignment/Map format and </w:t>
      </w:r>
      <w:proofErr w:type="spellStart"/>
      <w:r w:rsidRPr="00517959">
        <w:rPr>
          <w:lang w:val="en-US"/>
        </w:rPr>
        <w:t>SAMtools</w:t>
      </w:r>
      <w:proofErr w:type="spellEnd"/>
      <w:r w:rsidRPr="00517959">
        <w:rPr>
          <w:lang w:val="en-US"/>
        </w:rPr>
        <w:t xml:space="preserve">. Bioinformatics, 25(16), 2078–2079. </w:t>
      </w:r>
      <w:hyperlink r:id="rId15" w:history="1">
        <w:r w:rsidR="00624F05" w:rsidRPr="00826291">
          <w:rPr>
            <w:rStyle w:val="Hipervnculo"/>
            <w:lang w:val="en-US"/>
          </w:rPr>
          <w:t>https://doi.org/10.1093/bioinformatics/btp352</w:t>
        </w:r>
      </w:hyperlink>
    </w:p>
    <w:p w14:paraId="5001F5F8" w14:textId="157398C1" w:rsidR="00517959" w:rsidRPr="00C5418F" w:rsidRDefault="00517959" w:rsidP="00517959">
      <w:pPr>
        <w:rPr>
          <w:lang w:val="en-US"/>
        </w:rPr>
      </w:pPr>
      <w:r w:rsidRPr="00517959">
        <w:rPr>
          <w:lang w:val="en-US"/>
        </w:rPr>
        <w:t xml:space="preserve">McKenna, A., Hanna, M., Banks, E., Sivachenko, A., </w:t>
      </w:r>
      <w:proofErr w:type="spellStart"/>
      <w:r w:rsidRPr="00517959">
        <w:rPr>
          <w:lang w:val="en-US"/>
        </w:rPr>
        <w:t>Cibulskis</w:t>
      </w:r>
      <w:proofErr w:type="spellEnd"/>
      <w:r w:rsidRPr="00517959">
        <w:rPr>
          <w:lang w:val="en-US"/>
        </w:rPr>
        <w:t xml:space="preserve">, K., Kernytsky, A., Garimella, K., Altshuler, D., Gabriel, S., Daly, M., &amp; </w:t>
      </w:r>
      <w:proofErr w:type="spellStart"/>
      <w:r w:rsidRPr="00517959">
        <w:rPr>
          <w:lang w:val="en-US"/>
        </w:rPr>
        <w:t>DePristo</w:t>
      </w:r>
      <w:proofErr w:type="spellEnd"/>
      <w:r w:rsidRPr="00517959">
        <w:rPr>
          <w:lang w:val="en-US"/>
        </w:rPr>
        <w:t xml:space="preserve">, M. A. (2010). The Genome Analysis Toolkit: A MapReduce framework for analyzing next-generation DNA sequencing data. </w:t>
      </w:r>
      <w:r w:rsidRPr="00C5418F">
        <w:rPr>
          <w:lang w:val="en-US"/>
        </w:rPr>
        <w:t xml:space="preserve">Genome Research, 20(9), 1297–1303. </w:t>
      </w:r>
      <w:hyperlink r:id="rId16" w:history="1">
        <w:r w:rsidR="00624F05" w:rsidRPr="00C5418F">
          <w:rPr>
            <w:rStyle w:val="Hipervnculo"/>
            <w:lang w:val="en-US"/>
          </w:rPr>
          <w:t>https://doi.org/10.1101/gr.107524.110</w:t>
        </w:r>
      </w:hyperlink>
    </w:p>
    <w:p w14:paraId="415C9E9C" w14:textId="77777777" w:rsidR="00624F05" w:rsidRPr="00624F05" w:rsidRDefault="00624F05" w:rsidP="00624F05">
      <w:r w:rsidRPr="00C5418F">
        <w:rPr>
          <w:lang w:val="en-US"/>
        </w:rPr>
        <w:t xml:space="preserve">Vos, P., </w:t>
      </w:r>
      <w:proofErr w:type="spellStart"/>
      <w:r w:rsidRPr="00C5418F">
        <w:rPr>
          <w:lang w:val="en-US"/>
        </w:rPr>
        <w:t>Hogers</w:t>
      </w:r>
      <w:proofErr w:type="spellEnd"/>
      <w:r w:rsidRPr="00C5418F">
        <w:rPr>
          <w:lang w:val="en-US"/>
        </w:rPr>
        <w:t xml:space="preserve">, R., Bleeker, M., </w:t>
      </w:r>
      <w:proofErr w:type="spellStart"/>
      <w:r w:rsidRPr="00C5418F">
        <w:rPr>
          <w:lang w:val="en-US"/>
        </w:rPr>
        <w:t>Reijans</w:t>
      </w:r>
      <w:proofErr w:type="spellEnd"/>
      <w:r w:rsidRPr="00C5418F">
        <w:rPr>
          <w:lang w:val="en-US"/>
        </w:rPr>
        <w:t xml:space="preserve">, M., van de Lee, T., Hornes, M., </w:t>
      </w:r>
      <w:proofErr w:type="spellStart"/>
      <w:r w:rsidRPr="00C5418F">
        <w:rPr>
          <w:lang w:val="en-US"/>
        </w:rPr>
        <w:t>Frijters</w:t>
      </w:r>
      <w:proofErr w:type="spellEnd"/>
      <w:r w:rsidRPr="00C5418F">
        <w:rPr>
          <w:lang w:val="en-US"/>
        </w:rPr>
        <w:t xml:space="preserve">, A., Pot, J., </w:t>
      </w:r>
      <w:proofErr w:type="spellStart"/>
      <w:r w:rsidRPr="00C5418F">
        <w:rPr>
          <w:lang w:val="en-US"/>
        </w:rPr>
        <w:t>Peleman</w:t>
      </w:r>
      <w:proofErr w:type="spellEnd"/>
      <w:r w:rsidRPr="00C5418F">
        <w:rPr>
          <w:lang w:val="en-US"/>
        </w:rPr>
        <w:t xml:space="preserve">, J., Kuiper, M., &amp; Zabeau, M. (1995). </w:t>
      </w:r>
      <w:r w:rsidRPr="00624F05">
        <w:rPr>
          <w:lang w:val="en-US"/>
        </w:rPr>
        <w:t xml:space="preserve">AFLP: A new technique for DNA fingerprinting. </w:t>
      </w:r>
      <w:r w:rsidRPr="00624F05">
        <w:rPr>
          <w:i/>
          <w:iCs/>
          <w:lang w:val="en-US"/>
        </w:rPr>
        <w:t>Nucleic Acids Research</w:t>
      </w:r>
      <w:r w:rsidRPr="00624F05">
        <w:rPr>
          <w:lang w:val="en-US"/>
        </w:rPr>
        <w:t xml:space="preserve">, 23(21), 4407–4414. </w:t>
      </w:r>
      <w:hyperlink r:id="rId17" w:history="1">
        <w:r w:rsidRPr="00624F05">
          <w:rPr>
            <w:rStyle w:val="Hipervnculo"/>
          </w:rPr>
          <w:t>https://doi.org/10.1093/nar/23.21.4407</w:t>
        </w:r>
      </w:hyperlink>
    </w:p>
    <w:p w14:paraId="62611482" w14:textId="77777777" w:rsidR="00624F05" w:rsidRDefault="00624F05" w:rsidP="00517959"/>
    <w:p w14:paraId="78184C68" w14:textId="77777777" w:rsidR="00517959" w:rsidRDefault="00517959" w:rsidP="0099268A"/>
    <w:p w14:paraId="30FB91AA" w14:textId="77777777" w:rsidR="002741E1" w:rsidRDefault="002741E1" w:rsidP="0099268A"/>
    <w:p w14:paraId="531EFA49" w14:textId="77777777" w:rsidR="00136926" w:rsidRPr="003B7D04" w:rsidRDefault="00136926" w:rsidP="00136926">
      <w:pPr>
        <w:pStyle w:val="Ttulo2"/>
        <w:rPr>
          <w:caps/>
        </w:rPr>
      </w:pPr>
      <w:r>
        <w:t xml:space="preserve">Estado del arte </w:t>
      </w:r>
    </w:p>
    <w:p w14:paraId="6674917E" w14:textId="77777777" w:rsidR="00136926" w:rsidRPr="00E044E2" w:rsidRDefault="00136926" w:rsidP="00136926">
      <w:pPr>
        <w:pStyle w:val="Ttulo3"/>
        <w:numPr>
          <w:ilvl w:val="2"/>
          <w:numId w:val="17"/>
        </w:numPr>
      </w:pPr>
      <w:r w:rsidRPr="00E044E2">
        <w:t>Métodos de reducción de dimensionalidad</w:t>
      </w:r>
    </w:p>
    <w:p w14:paraId="20FE79D9" w14:textId="4AFEA96F" w:rsidR="00136926" w:rsidRDefault="00136926" w:rsidP="00136926">
      <w:pPr>
        <w:pStyle w:val="Ttulo3"/>
        <w:numPr>
          <w:ilvl w:val="2"/>
          <w:numId w:val="17"/>
        </w:numPr>
      </w:pPr>
      <w:r w:rsidRPr="00E044E2">
        <w:t>Herramientas existentes para genetistas</w:t>
      </w:r>
      <w:r w:rsidR="00461E9F">
        <w:t xml:space="preserve"> - F</w:t>
      </w:r>
    </w:p>
    <w:p w14:paraId="10E8F289" w14:textId="611324FD" w:rsidR="00A47F34" w:rsidRDefault="00A47F34" w:rsidP="00A47F34">
      <w:r>
        <w:t>Las herramientas más utilizadas para el análisis de variantes genómicas presentan limitaciones de accesibilidad significativas para usuarios sin formación en programación o computación. Por su naturaleza se pueden agrupar en 3 áreas distintas: las que requieren programar, los programas que se instalan y las herramientas web.</w:t>
      </w:r>
    </w:p>
    <w:p w14:paraId="4035383A" w14:textId="1F77C60A" w:rsidR="00A47F34" w:rsidRDefault="00A47F34" w:rsidP="00A47F34">
      <w:r>
        <w:t xml:space="preserve">Las herramientas que requieren saber programar son </w:t>
      </w:r>
      <w:r w:rsidRPr="007E64FA">
        <w:rPr>
          <w:u w:val="single"/>
        </w:rPr>
        <w:t>librerías</w:t>
      </w:r>
      <w:r>
        <w:t xml:space="preserve">. </w:t>
      </w:r>
      <w:r w:rsidR="00301501">
        <w:t xml:space="preserve">Tanto </w:t>
      </w:r>
      <w:proofErr w:type="spellStart"/>
      <w:r w:rsidR="00301501" w:rsidRPr="007E64FA">
        <w:rPr>
          <w:b/>
          <w:bCs/>
        </w:rPr>
        <w:t>adegenet</w:t>
      </w:r>
      <w:proofErr w:type="spellEnd"/>
      <w:r w:rsidR="00301501">
        <w:t xml:space="preserve"> del lenguaje R </w:t>
      </w:r>
      <w:r w:rsidR="007E64FA" w:rsidRPr="007E64FA">
        <w:rPr>
          <w:highlight w:val="lightGray"/>
        </w:rPr>
        <w:t>(</w:t>
      </w:r>
      <w:proofErr w:type="spellStart"/>
      <w:r w:rsidR="007E64FA" w:rsidRPr="007E64FA">
        <w:rPr>
          <w:highlight w:val="lightGray"/>
        </w:rPr>
        <w:t>Jombart</w:t>
      </w:r>
      <w:proofErr w:type="spellEnd"/>
      <w:r w:rsidR="007E64FA" w:rsidRPr="007E64FA">
        <w:rPr>
          <w:highlight w:val="lightGray"/>
        </w:rPr>
        <w:t>, 2008)</w:t>
      </w:r>
      <w:r w:rsidR="007E64FA">
        <w:t xml:space="preserve"> </w:t>
      </w:r>
      <w:r w:rsidR="00301501">
        <w:t xml:space="preserve">como </w:t>
      </w:r>
      <w:proofErr w:type="spellStart"/>
      <w:r w:rsidR="00301501" w:rsidRPr="007E64FA">
        <w:rPr>
          <w:b/>
          <w:bCs/>
        </w:rPr>
        <w:t>scikit-allel</w:t>
      </w:r>
      <w:proofErr w:type="spellEnd"/>
      <w:r w:rsidR="00301501">
        <w:t xml:space="preserve"> en el ecosistema Python </w:t>
      </w:r>
      <w:r w:rsidR="007E64FA" w:rsidRPr="007E64FA">
        <w:rPr>
          <w:highlight w:val="lightGray"/>
        </w:rPr>
        <w:t>(Miles et al., 2024)</w:t>
      </w:r>
      <w:r w:rsidR="007E64FA">
        <w:t xml:space="preserve"> </w:t>
      </w:r>
      <w:r w:rsidR="00301501">
        <w:t>permiten el análisis multivariante de marcadores genéticos, es decir, se pueden usar para hacer un PCA. Sin embargo, se necesitan instalar entornos de programación y saber de programación y computación, por lo que quedan fuera del alcance de muchos investigadores del sector sin dicha formación.</w:t>
      </w:r>
    </w:p>
    <w:p w14:paraId="0C45C66C" w14:textId="1783CAC8" w:rsidR="00301501" w:rsidRDefault="0081199B" w:rsidP="00A47F34">
      <w:r>
        <w:t xml:space="preserve">Una alternativa a la programación son los </w:t>
      </w:r>
      <w:r w:rsidRPr="007E64FA">
        <w:rPr>
          <w:u w:val="single"/>
        </w:rPr>
        <w:t>programas</w:t>
      </w:r>
      <w:r>
        <w:t xml:space="preserve"> que se instalan y ejecutan por sí mismos. </w:t>
      </w:r>
      <w:r w:rsidRPr="007E64FA">
        <w:rPr>
          <w:b/>
          <w:bCs/>
        </w:rPr>
        <w:t>PLINK</w:t>
      </w:r>
      <w:r>
        <w:t xml:space="preserve"> </w:t>
      </w:r>
      <w:r w:rsidRPr="007E64FA">
        <w:rPr>
          <w:highlight w:val="lightGray"/>
        </w:rPr>
        <w:t>(Purcell et al., 2007)</w:t>
      </w:r>
      <w:r>
        <w:t xml:space="preserve"> es de los programas más extendidos en bioinformática en genética de poblaciones, pero el usuario ha de interactuar con él mediante una línea de comandos por terminal, lo que requiere aprender su sintaxis de comandos. </w:t>
      </w:r>
      <w:r w:rsidRPr="007E64FA">
        <w:rPr>
          <w:b/>
          <w:bCs/>
        </w:rPr>
        <w:t>TASSEL</w:t>
      </w:r>
      <w:r w:rsidR="007E64FA">
        <w:t xml:space="preserve"> </w:t>
      </w:r>
      <w:r w:rsidR="007E64FA" w:rsidRPr="007E64FA">
        <w:rPr>
          <w:highlight w:val="lightGray"/>
        </w:rPr>
        <w:t>(Bradbury et al., 2007)</w:t>
      </w:r>
      <w:r>
        <w:t>, por otro lado, ofrece una interfaz gráfica de escritorio, pero su configuración para el análisis de PCA no resulta intuitiva para usuarios no especializados. Además, en ambos casos se requiere instalación local.</w:t>
      </w:r>
    </w:p>
    <w:p w14:paraId="6A8D781B" w14:textId="72DBDF18" w:rsidR="007E64FA" w:rsidRDefault="007E64FA" w:rsidP="00A47F34">
      <w:r>
        <w:t xml:space="preserve">El 3r grupo de herramientas son las </w:t>
      </w:r>
      <w:r w:rsidRPr="00C0727C">
        <w:rPr>
          <w:u w:val="single"/>
        </w:rPr>
        <w:t>plataformas web</w:t>
      </w:r>
      <w:r>
        <w:t xml:space="preserve">, que evitan la programación para el usuario y la instalación local. </w:t>
      </w:r>
      <w:r w:rsidRPr="00C0727C">
        <w:rPr>
          <w:b/>
          <w:bCs/>
        </w:rPr>
        <w:t>Galaxy</w:t>
      </w:r>
      <w:r>
        <w:t xml:space="preserve"> </w:t>
      </w:r>
      <w:r w:rsidRPr="00C0727C">
        <w:rPr>
          <w:highlight w:val="lightGray"/>
        </w:rPr>
        <w:t>(</w:t>
      </w:r>
      <w:proofErr w:type="spellStart"/>
      <w:r w:rsidRPr="00C0727C">
        <w:rPr>
          <w:highlight w:val="lightGray"/>
        </w:rPr>
        <w:t>Afgan</w:t>
      </w:r>
      <w:proofErr w:type="spellEnd"/>
      <w:r w:rsidRPr="00C0727C">
        <w:rPr>
          <w:highlight w:val="lightGray"/>
        </w:rPr>
        <w:t xml:space="preserve"> et al., 2</w:t>
      </w:r>
      <w:r w:rsidR="00461E9F">
        <w:rPr>
          <w:highlight w:val="lightGray"/>
        </w:rPr>
        <w:t>0</w:t>
      </w:r>
      <w:r w:rsidRPr="00C0727C">
        <w:rPr>
          <w:highlight w:val="lightGray"/>
        </w:rPr>
        <w:t>18)</w:t>
      </w:r>
      <w:r>
        <w:t xml:space="preserve"> es la referencia mundial en bioinformática accesible, pero está orientada a flujos de trabajo complejos, con registro de usuario, sin especialización en análisis de estructura poblacional por PCA o </w:t>
      </w:r>
      <w:proofErr w:type="spellStart"/>
      <w:r>
        <w:t>PCoA</w:t>
      </w:r>
      <w:proofErr w:type="spellEnd"/>
      <w:r>
        <w:t xml:space="preserve"> y tiene una curva de aprendizaje considerable. </w:t>
      </w:r>
      <w:r w:rsidRPr="00C0727C">
        <w:rPr>
          <w:b/>
          <w:bCs/>
        </w:rPr>
        <w:t xml:space="preserve">VCF </w:t>
      </w:r>
      <w:proofErr w:type="spellStart"/>
      <w:r w:rsidRPr="00C0727C">
        <w:rPr>
          <w:b/>
          <w:bCs/>
        </w:rPr>
        <w:t>Observer</w:t>
      </w:r>
      <w:proofErr w:type="spellEnd"/>
      <w:r w:rsidRPr="00C0727C">
        <w:rPr>
          <w:b/>
          <w:bCs/>
        </w:rPr>
        <w:t xml:space="preserve"> </w:t>
      </w:r>
      <w:r w:rsidRPr="00C0727C">
        <w:rPr>
          <w:highlight w:val="lightGray"/>
        </w:rPr>
        <w:t>(</w:t>
      </w:r>
      <w:proofErr w:type="spellStart"/>
      <w:r w:rsidRPr="00C0727C">
        <w:rPr>
          <w:highlight w:val="lightGray"/>
        </w:rPr>
        <w:t>Emül</w:t>
      </w:r>
      <w:proofErr w:type="spellEnd"/>
      <w:r w:rsidRPr="00C0727C">
        <w:rPr>
          <w:highlight w:val="lightGray"/>
        </w:rPr>
        <w:t xml:space="preserve"> et al., 2024)</w:t>
      </w:r>
      <w:r>
        <w:t xml:space="preserve"> es otra aplicación web </w:t>
      </w:r>
      <w:r w:rsidR="00C0727C">
        <w:t>que permite analizar archivos VCF de forma accesible, pero está orientada al análisis clínico de variantes individuales, sin métodos de análisis de diversidad genómica poblacional.</w:t>
      </w:r>
    </w:p>
    <w:p w14:paraId="1FDB8E42" w14:textId="44ED2C2E" w:rsidR="00741D81" w:rsidRDefault="00C0727C" w:rsidP="00741D81">
      <w:r>
        <w:t xml:space="preserve">En conclusión, ninguna de las herramientas investigadas aúna las 3 características necesarias para que </w:t>
      </w:r>
      <w:r w:rsidRPr="00C0727C">
        <w:rPr>
          <w:color w:val="EE0000"/>
        </w:rPr>
        <w:t>nuestro usuario objetivo</w:t>
      </w:r>
      <w:r>
        <w:t xml:space="preserve"> las utilice cómodamente: acceso sin instalación, ausencia de conocimientos de programación y especialización en análisis de reducción de dimensionalidad para datos genómicos poblacionales.</w:t>
      </w:r>
    </w:p>
    <w:p w14:paraId="697AD8CF" w14:textId="77777777" w:rsidR="00741D81" w:rsidRDefault="00741D81" w:rsidP="00741D81"/>
    <w:p w14:paraId="743D6DAB" w14:textId="1DCEC155" w:rsidR="00741D81" w:rsidRPr="00624F05" w:rsidRDefault="00741D81" w:rsidP="00741D81">
      <w:pPr>
        <w:pStyle w:val="Ttulo4"/>
        <w:ind w:left="708" w:hanging="708"/>
      </w:pPr>
      <w:r>
        <w:t>FUENTES confirmadas por Gestora Bibliográfica:</w:t>
      </w:r>
    </w:p>
    <w:p w14:paraId="31416950" w14:textId="1B8F11F6" w:rsidR="00741D81" w:rsidRDefault="00741D81" w:rsidP="00741D81">
      <w:pPr>
        <w:rPr>
          <w:lang w:val="en-US"/>
        </w:rPr>
      </w:pPr>
      <w:proofErr w:type="spellStart"/>
      <w:r w:rsidRPr="00741D81">
        <w:rPr>
          <w:lang w:val="en-US"/>
        </w:rPr>
        <w:t>Afgan</w:t>
      </w:r>
      <w:proofErr w:type="spellEnd"/>
      <w:r w:rsidRPr="00741D81">
        <w:rPr>
          <w:lang w:val="en-US"/>
        </w:rPr>
        <w:t xml:space="preserve">, E., Baker, D., </w:t>
      </w:r>
      <w:proofErr w:type="spellStart"/>
      <w:r w:rsidRPr="00741D81">
        <w:rPr>
          <w:lang w:val="en-US"/>
        </w:rPr>
        <w:t>Batut</w:t>
      </w:r>
      <w:proofErr w:type="spellEnd"/>
      <w:r w:rsidRPr="00741D81">
        <w:rPr>
          <w:lang w:val="en-US"/>
        </w:rPr>
        <w:t xml:space="preserve">, B., van den Beek, M., Bouvier, D., Čech, M., Chilton, J., Clements, D., </w:t>
      </w:r>
      <w:proofErr w:type="spellStart"/>
      <w:r w:rsidRPr="00741D81">
        <w:rPr>
          <w:lang w:val="en-US"/>
        </w:rPr>
        <w:t>Coraor</w:t>
      </w:r>
      <w:proofErr w:type="spellEnd"/>
      <w:r w:rsidRPr="00741D81">
        <w:rPr>
          <w:lang w:val="en-US"/>
        </w:rPr>
        <w:t xml:space="preserve">, N., </w:t>
      </w:r>
      <w:proofErr w:type="spellStart"/>
      <w:r w:rsidRPr="00741D81">
        <w:rPr>
          <w:lang w:val="en-US"/>
        </w:rPr>
        <w:t>Grüning</w:t>
      </w:r>
      <w:proofErr w:type="spellEnd"/>
      <w:r w:rsidRPr="00741D81">
        <w:rPr>
          <w:lang w:val="en-US"/>
        </w:rPr>
        <w:t xml:space="preserve">, B. A., </w:t>
      </w:r>
      <w:proofErr w:type="spellStart"/>
      <w:r w:rsidRPr="00741D81">
        <w:rPr>
          <w:lang w:val="en-US"/>
        </w:rPr>
        <w:t>Guerler</w:t>
      </w:r>
      <w:proofErr w:type="spellEnd"/>
      <w:r w:rsidRPr="00741D81">
        <w:rPr>
          <w:lang w:val="en-US"/>
        </w:rPr>
        <w:t xml:space="preserve">, A., Hillman-Jackson, J., </w:t>
      </w:r>
      <w:proofErr w:type="spellStart"/>
      <w:r w:rsidRPr="00741D81">
        <w:rPr>
          <w:lang w:val="en-US"/>
        </w:rPr>
        <w:t>Hiltemann</w:t>
      </w:r>
      <w:proofErr w:type="spellEnd"/>
      <w:r w:rsidRPr="00741D81">
        <w:rPr>
          <w:lang w:val="en-US"/>
        </w:rPr>
        <w:t xml:space="preserve">, S., Jalili, V., Rasche, H., </w:t>
      </w:r>
      <w:proofErr w:type="spellStart"/>
      <w:r w:rsidRPr="00741D81">
        <w:rPr>
          <w:lang w:val="en-US"/>
        </w:rPr>
        <w:t>Soranzo</w:t>
      </w:r>
      <w:proofErr w:type="spellEnd"/>
      <w:r w:rsidRPr="00741D81">
        <w:rPr>
          <w:lang w:val="en-US"/>
        </w:rPr>
        <w:t xml:space="preserve">, N., Goecks, J., Taylor, J., </w:t>
      </w:r>
      <w:proofErr w:type="spellStart"/>
      <w:r w:rsidRPr="00741D81">
        <w:rPr>
          <w:lang w:val="en-US"/>
        </w:rPr>
        <w:t>Nekrutenko</w:t>
      </w:r>
      <w:proofErr w:type="spellEnd"/>
      <w:r w:rsidRPr="00741D81">
        <w:rPr>
          <w:lang w:val="en-US"/>
        </w:rPr>
        <w:t xml:space="preserve">, A., &amp; Blankenberg, D. (2018). </w:t>
      </w:r>
      <w:r w:rsidRPr="00727B95">
        <w:rPr>
          <w:lang w:val="en-US"/>
        </w:rPr>
        <w:t xml:space="preserve">The Galaxy </w:t>
      </w:r>
      <w:r w:rsidRPr="00727B95">
        <w:rPr>
          <w:lang w:val="en-US"/>
        </w:rPr>
        <w:lastRenderedPageBreak/>
        <w:t xml:space="preserve">platform for accessible, reproducible and collaborative biomedical analyses: 2018 update. Nucleic Acids Research, 46(W1), W537–W544. </w:t>
      </w:r>
      <w:hyperlink r:id="rId18" w:history="1">
        <w:r w:rsidRPr="00826291">
          <w:rPr>
            <w:rStyle w:val="Hipervnculo"/>
            <w:lang w:val="en-US"/>
          </w:rPr>
          <w:t>https://doi.org/10.1093/nar/gky379</w:t>
        </w:r>
      </w:hyperlink>
    </w:p>
    <w:p w14:paraId="555356B7" w14:textId="71E31FA1" w:rsidR="00741D81" w:rsidRPr="00741D81" w:rsidRDefault="00741D81" w:rsidP="00741D81">
      <w:pPr>
        <w:rPr>
          <w:lang w:val="en-US"/>
        </w:rPr>
      </w:pPr>
      <w:r w:rsidRPr="00727B95">
        <w:rPr>
          <w:lang w:val="en-US"/>
        </w:rPr>
        <w:t xml:space="preserve">Bradbury, P. J., Zhang, Z., Kroon, D. E., Casstevens, T. M., </w:t>
      </w:r>
      <w:proofErr w:type="spellStart"/>
      <w:r w:rsidRPr="00727B95">
        <w:rPr>
          <w:lang w:val="en-US"/>
        </w:rPr>
        <w:t>Ramdoss</w:t>
      </w:r>
      <w:proofErr w:type="spellEnd"/>
      <w:r w:rsidRPr="00727B95">
        <w:rPr>
          <w:lang w:val="en-US"/>
        </w:rPr>
        <w:t xml:space="preserve">, Y., &amp; Buckler, E. S. (2007). TASSEL: Software for association mapping of complex traits in diverse samples. </w:t>
      </w:r>
      <w:r w:rsidRPr="00C5418F">
        <w:rPr>
          <w:lang w:val="en-US"/>
        </w:rPr>
        <w:t xml:space="preserve">Bioinformatics, 23(19), 2633–2635. </w:t>
      </w:r>
      <w:hyperlink r:id="rId19" w:history="1">
        <w:r w:rsidRPr="00741D81">
          <w:rPr>
            <w:rStyle w:val="Hipervnculo"/>
            <w:lang w:val="en-US"/>
          </w:rPr>
          <w:t>https://doi.org/10.1093/bioinformatics/btm308</w:t>
        </w:r>
      </w:hyperlink>
    </w:p>
    <w:p w14:paraId="3E83F07A" w14:textId="7D4E184C" w:rsidR="00741D81" w:rsidRDefault="00741D81" w:rsidP="00741D81">
      <w:pPr>
        <w:rPr>
          <w:lang w:val="en-US"/>
        </w:rPr>
      </w:pPr>
      <w:proofErr w:type="spellStart"/>
      <w:r w:rsidRPr="00741D81">
        <w:rPr>
          <w:lang w:val="en-US"/>
        </w:rPr>
        <w:t>Emül</w:t>
      </w:r>
      <w:proofErr w:type="spellEnd"/>
      <w:r w:rsidRPr="00741D81">
        <w:rPr>
          <w:lang w:val="en-US"/>
        </w:rPr>
        <w:t xml:space="preserve">, A. A., Ergün, M. A., Ertürk, R. A., </w:t>
      </w:r>
      <w:proofErr w:type="spellStart"/>
      <w:r w:rsidRPr="00741D81">
        <w:rPr>
          <w:lang w:val="en-US"/>
        </w:rPr>
        <w:t>Çinal</w:t>
      </w:r>
      <w:proofErr w:type="spellEnd"/>
      <w:r w:rsidRPr="00741D81">
        <w:rPr>
          <w:lang w:val="en-US"/>
        </w:rPr>
        <w:t xml:space="preserve">, Ö., &amp; Baysan, M. (2024). </w:t>
      </w:r>
      <w:r w:rsidRPr="00727B95">
        <w:rPr>
          <w:lang w:val="en-US"/>
        </w:rPr>
        <w:t xml:space="preserve">VCF observer: a user-friendly software tool for preliminary VCF file analysis and comparison. </w:t>
      </w:r>
      <w:r w:rsidRPr="00090798">
        <w:rPr>
          <w:lang w:val="en-US"/>
        </w:rPr>
        <w:t xml:space="preserve">BMC Bioinformatics, 25(1), </w:t>
      </w:r>
      <w:proofErr w:type="spellStart"/>
      <w:r w:rsidRPr="00090798">
        <w:rPr>
          <w:lang w:val="en-US"/>
        </w:rPr>
        <w:t>artículo</w:t>
      </w:r>
      <w:proofErr w:type="spellEnd"/>
      <w:r w:rsidRPr="00090798">
        <w:rPr>
          <w:lang w:val="en-US"/>
        </w:rPr>
        <w:t xml:space="preserve"> 290. </w:t>
      </w:r>
      <w:hyperlink r:id="rId20" w:history="1">
        <w:r w:rsidRPr="00826291">
          <w:rPr>
            <w:rStyle w:val="Hipervnculo"/>
            <w:lang w:val="en-US"/>
          </w:rPr>
          <w:t>https://doi.org/10.1186/s12859-024-05860-0</w:t>
        </w:r>
      </w:hyperlink>
    </w:p>
    <w:p w14:paraId="6C7FF582" w14:textId="66A4A4CE" w:rsidR="00741D81" w:rsidRDefault="00741D81" w:rsidP="00741D81">
      <w:pPr>
        <w:rPr>
          <w:lang w:val="en-US"/>
        </w:rPr>
      </w:pPr>
      <w:proofErr w:type="spellStart"/>
      <w:r w:rsidRPr="00727B95">
        <w:rPr>
          <w:lang w:val="en-US"/>
        </w:rPr>
        <w:t>Jombart</w:t>
      </w:r>
      <w:proofErr w:type="spellEnd"/>
      <w:r w:rsidRPr="00727B95">
        <w:rPr>
          <w:lang w:val="en-US"/>
        </w:rPr>
        <w:t xml:space="preserve">, T. (2008). </w:t>
      </w:r>
      <w:proofErr w:type="spellStart"/>
      <w:r w:rsidRPr="00727B95">
        <w:rPr>
          <w:lang w:val="en-US"/>
        </w:rPr>
        <w:t>adegenet</w:t>
      </w:r>
      <w:proofErr w:type="spellEnd"/>
      <w:r w:rsidRPr="00727B95">
        <w:rPr>
          <w:lang w:val="en-US"/>
        </w:rPr>
        <w:t xml:space="preserve">: a R package for the multivariate analysis of genetic markers. Bioinformatics, 24(11), 1403–1405. </w:t>
      </w:r>
      <w:hyperlink r:id="rId21" w:history="1">
        <w:r w:rsidRPr="00826291">
          <w:rPr>
            <w:rStyle w:val="Hipervnculo"/>
            <w:lang w:val="en-US"/>
          </w:rPr>
          <w:t>https://doi.org/10.1093/bioinformatics/btn129</w:t>
        </w:r>
      </w:hyperlink>
    </w:p>
    <w:p w14:paraId="1AEB064C" w14:textId="593490AF" w:rsidR="00741D81" w:rsidRDefault="00741D81" w:rsidP="00741D81">
      <w:pPr>
        <w:rPr>
          <w:lang w:val="en-US"/>
        </w:rPr>
      </w:pPr>
      <w:r w:rsidRPr="00727B95">
        <w:rPr>
          <w:lang w:val="en-US"/>
        </w:rPr>
        <w:t xml:space="preserve">Miles, A., et al. (2024). </w:t>
      </w:r>
      <w:proofErr w:type="spellStart"/>
      <w:r w:rsidRPr="00727B95">
        <w:rPr>
          <w:lang w:val="en-US"/>
        </w:rPr>
        <w:t>cggh</w:t>
      </w:r>
      <w:proofErr w:type="spellEnd"/>
      <w:r w:rsidRPr="00727B95">
        <w:rPr>
          <w:lang w:val="en-US"/>
        </w:rPr>
        <w:t>/scikit-</w:t>
      </w:r>
      <w:proofErr w:type="spellStart"/>
      <w:r w:rsidRPr="00727B95">
        <w:rPr>
          <w:lang w:val="en-US"/>
        </w:rPr>
        <w:t>allel</w:t>
      </w:r>
      <w:proofErr w:type="spellEnd"/>
      <w:r w:rsidRPr="00727B95">
        <w:rPr>
          <w:lang w:val="en-US"/>
        </w:rPr>
        <w:t xml:space="preserve"> (v1.3.13) [Software]. </w:t>
      </w:r>
      <w:proofErr w:type="spellStart"/>
      <w:r w:rsidRPr="00727B95">
        <w:rPr>
          <w:lang w:val="en-US"/>
        </w:rPr>
        <w:t>Zenodo</w:t>
      </w:r>
      <w:proofErr w:type="spellEnd"/>
      <w:r w:rsidRPr="00727B95">
        <w:rPr>
          <w:lang w:val="en-US"/>
        </w:rPr>
        <w:t xml:space="preserve">. </w:t>
      </w:r>
      <w:hyperlink r:id="rId22" w:history="1">
        <w:r w:rsidRPr="00826291">
          <w:rPr>
            <w:rStyle w:val="Hipervnculo"/>
            <w:lang w:val="en-US"/>
          </w:rPr>
          <w:t>https://doi.org/10.5281/zenodo.597309</w:t>
        </w:r>
      </w:hyperlink>
    </w:p>
    <w:p w14:paraId="13D05AB6" w14:textId="703226BC" w:rsidR="00741D81" w:rsidRDefault="00741D81" w:rsidP="00741D81">
      <w:pPr>
        <w:rPr>
          <w:lang w:val="en-US"/>
        </w:rPr>
      </w:pPr>
      <w:r w:rsidRPr="00727B95">
        <w:rPr>
          <w:lang w:val="en-US"/>
        </w:rPr>
        <w:t xml:space="preserve">Purcell, S., Neale, B., Todd-Brown, K., Thomas, L., Ferreira, M. A. R., Bender, D., Maller, J., Sklar, P., de Bakker, P. I. W., Daly, M. J., &amp; Sham, P. C. (2007). PLINK: A tool set for whole-genome association and population-based linkage analyses. The American Journal of Human Genetics, 81(3), 559–575. </w:t>
      </w:r>
      <w:hyperlink r:id="rId23" w:history="1">
        <w:r w:rsidRPr="00826291">
          <w:rPr>
            <w:rStyle w:val="Hipervnculo"/>
            <w:lang w:val="en-US"/>
          </w:rPr>
          <w:t>https://doi.org/10.1086/519795</w:t>
        </w:r>
      </w:hyperlink>
    </w:p>
    <w:p w14:paraId="222B5A8C" w14:textId="77777777" w:rsidR="00741D81" w:rsidRPr="00A47F34" w:rsidRDefault="00741D81" w:rsidP="00A47F34"/>
    <w:p w14:paraId="5D9542F6" w14:textId="54A6DDFB" w:rsidR="00136926" w:rsidRDefault="00136926" w:rsidP="00136926">
      <w:pPr>
        <w:pStyle w:val="Ttulo3"/>
        <w:numPr>
          <w:ilvl w:val="2"/>
          <w:numId w:val="17"/>
        </w:numPr>
      </w:pPr>
      <w:r w:rsidRPr="00E044E2">
        <w:t>Accesibilidad en bioinformática</w:t>
      </w:r>
      <w:r w:rsidR="00F5510D">
        <w:t xml:space="preserve"> - F</w:t>
      </w:r>
    </w:p>
    <w:p w14:paraId="76463852" w14:textId="08760E90" w:rsidR="001212D3" w:rsidRDefault="001212D3" w:rsidP="001212D3">
      <w:r>
        <w:t>El d</w:t>
      </w:r>
      <w:r w:rsidR="00C34555">
        <w:t xml:space="preserve">esarrollo de software científico ha estado históricamente condicionado por la lógica de quien lo escribe, no de quién lo usa. </w:t>
      </w:r>
      <w:r w:rsidR="00C34555" w:rsidRPr="00C34555">
        <w:rPr>
          <w:highlight w:val="lightGray"/>
        </w:rPr>
        <w:t>Seemann (2013)</w:t>
      </w:r>
      <w:r w:rsidR="00C34555">
        <w:t xml:space="preserve"> documentó que la mayoría de las herramientas bioinformáticas publicadas incumplen los requisitos básicos de usabilidad desde su primera interacción con el usuario y que la interfaz de línea de comandos constituye con frecuencia tanto el primer como el último contacto del usuario con la herramienta.</w:t>
      </w:r>
    </w:p>
    <w:p w14:paraId="2313CC41" w14:textId="6A871670" w:rsidR="00C34555" w:rsidRDefault="00C34555" w:rsidP="001212D3">
      <w:r>
        <w:t xml:space="preserve">Esta barrera no es exclusiva del análisis de estructura poblacional, sino un patrón mucho más amplio dentro de la bioinformática. </w:t>
      </w:r>
      <w:proofErr w:type="spellStart"/>
      <w:r w:rsidRPr="00C34555">
        <w:rPr>
          <w:highlight w:val="lightGray"/>
        </w:rPr>
        <w:t>Shachak</w:t>
      </w:r>
      <w:proofErr w:type="spellEnd"/>
      <w:r w:rsidRPr="00C34555">
        <w:rPr>
          <w:highlight w:val="lightGray"/>
        </w:rPr>
        <w:t xml:space="preserve"> et al. (2007)</w:t>
      </w:r>
      <w:r>
        <w:t xml:space="preserve"> identificaron, mediante un estudio cualitativo, que la curva de aprendizaje técnica y la ausencia de interfaces amigables son las principales barreras que impiden a los biólogos adoptar herramientas bioinformáticas en su trabajo cotidiano. </w:t>
      </w:r>
      <w:r w:rsidRPr="0041672B">
        <w:rPr>
          <w:highlight w:val="lightGray"/>
        </w:rPr>
        <w:t>Pabinger et al. (2022)</w:t>
      </w:r>
      <w:r>
        <w:t xml:space="preserve"> señalan que el cuello de botella actual en los estudios genómicos ya no reside en la generación de datos, cuyo coste ha caído de forma drástica con la secuenciación masiva, sino su análisis, que permanece en manos de un perfil técnico especializado y defienden el desarrollo de plataformas web accesibles como vía para democratizar el acceso. La consecuencia práctica es que muchos genetistas dependen de terceros para ejecutar análisis que conceptualmente comprenden</w:t>
      </w:r>
      <w:r w:rsidR="0041672B">
        <w:t xml:space="preserve"> pero que no pueden realizar de forma autónoma por falta de herramientas apropiadas.</w:t>
      </w:r>
    </w:p>
    <w:p w14:paraId="005287B3" w14:textId="29F352D4" w:rsidR="0041672B" w:rsidRDefault="0041672B" w:rsidP="001212D3">
      <w:r>
        <w:t xml:space="preserve">Este problema persiste y no ha sido resuelto de forma satisfactoria </w:t>
      </w:r>
      <w:r w:rsidRPr="0041672B">
        <w:rPr>
          <w:highlight w:val="lightGray"/>
        </w:rPr>
        <w:t>(Dinsdale et al., 2023)</w:t>
      </w:r>
      <w:r>
        <w:t>, evidenciando que la necesidad de herramientas accesibles sigue siendo plenamente vigente.</w:t>
      </w:r>
    </w:p>
    <w:p w14:paraId="4A2D5734" w14:textId="77777777" w:rsidR="00C34555" w:rsidRDefault="00C34555" w:rsidP="001212D3"/>
    <w:p w14:paraId="20B3150B" w14:textId="113B13A7" w:rsidR="001212D3" w:rsidRDefault="001212D3" w:rsidP="001212D3">
      <w:pPr>
        <w:pStyle w:val="Ttulo4"/>
      </w:pPr>
      <w:r>
        <w:t>FUENTES confirmadas por Gestora Bibliográfica:</w:t>
      </w:r>
    </w:p>
    <w:p w14:paraId="6FCABAF9" w14:textId="3B88F37E" w:rsidR="00DB4E47" w:rsidRDefault="00DB4E47" w:rsidP="00DB4E47">
      <w:pPr>
        <w:rPr>
          <w:lang w:val="en-US"/>
        </w:rPr>
      </w:pPr>
      <w:r w:rsidRPr="00DB4E47">
        <w:rPr>
          <w:lang w:val="en-US"/>
        </w:rPr>
        <w:t xml:space="preserve">Dinsdale, E., et al. (2023). Revisiting barriers to implementation of bioinformatics into life sciences education. Frontiers in Education, 8, 1317191. </w:t>
      </w:r>
      <w:hyperlink r:id="rId24" w:history="1">
        <w:r w:rsidRPr="00826291">
          <w:rPr>
            <w:rStyle w:val="Hipervnculo"/>
            <w:lang w:val="en-US"/>
          </w:rPr>
          <w:t>https://doi.org/10.3389/feduc.2023.1317191</w:t>
        </w:r>
      </w:hyperlink>
    </w:p>
    <w:p w14:paraId="29F6B426" w14:textId="574690C7" w:rsidR="00DB4E47" w:rsidRDefault="00DB4E47" w:rsidP="00DB4E47">
      <w:pPr>
        <w:rPr>
          <w:lang w:val="en-US"/>
        </w:rPr>
      </w:pPr>
      <w:r w:rsidRPr="00DB4E47">
        <w:rPr>
          <w:lang w:val="en-US"/>
        </w:rPr>
        <w:t xml:space="preserve">Pabinger, S., et al. (2022). Democratizing bioinformatics through easily accessible software platforms for non-experts in the field. </w:t>
      </w:r>
      <w:proofErr w:type="spellStart"/>
      <w:r w:rsidRPr="00DB4E47">
        <w:rPr>
          <w:lang w:val="en-US"/>
        </w:rPr>
        <w:t>BioTechniques</w:t>
      </w:r>
      <w:proofErr w:type="spellEnd"/>
      <w:r w:rsidRPr="00DB4E47">
        <w:rPr>
          <w:lang w:val="en-US"/>
        </w:rPr>
        <w:t xml:space="preserve">, 72(2), 36–38. </w:t>
      </w:r>
      <w:hyperlink r:id="rId25" w:history="1">
        <w:r w:rsidRPr="00826291">
          <w:rPr>
            <w:rStyle w:val="Hipervnculo"/>
            <w:lang w:val="en-US"/>
          </w:rPr>
          <w:t>https://doi.org/10.2144/btn-2021-0060</w:t>
        </w:r>
      </w:hyperlink>
    </w:p>
    <w:p w14:paraId="10389FDA" w14:textId="6EE4BF18" w:rsidR="00DB4E47" w:rsidRDefault="00DB4E47" w:rsidP="00DB4E47">
      <w:pPr>
        <w:rPr>
          <w:lang w:val="en-US"/>
        </w:rPr>
      </w:pPr>
      <w:r w:rsidRPr="00DB4E47">
        <w:rPr>
          <w:lang w:val="en-US"/>
        </w:rPr>
        <w:t xml:space="preserve">Seemann, T. (2013). Ten recommendations for creating usable bioinformatics command line software. </w:t>
      </w:r>
      <w:proofErr w:type="spellStart"/>
      <w:r w:rsidRPr="00DB4E47">
        <w:rPr>
          <w:lang w:val="en-US"/>
        </w:rPr>
        <w:t>GigaScience</w:t>
      </w:r>
      <w:proofErr w:type="spellEnd"/>
      <w:r w:rsidRPr="00DB4E47">
        <w:rPr>
          <w:lang w:val="en-US"/>
        </w:rPr>
        <w:t xml:space="preserve">, 2(1), 15. </w:t>
      </w:r>
      <w:hyperlink r:id="rId26" w:history="1">
        <w:r w:rsidRPr="00826291">
          <w:rPr>
            <w:rStyle w:val="Hipervnculo"/>
            <w:lang w:val="en-US"/>
          </w:rPr>
          <w:t>https://doi.org/10.1186/2047-217X-2-15</w:t>
        </w:r>
      </w:hyperlink>
    </w:p>
    <w:p w14:paraId="64DD2D95" w14:textId="15A825A5" w:rsidR="00DB4E47" w:rsidRDefault="00DB4E47" w:rsidP="00DB4E47">
      <w:proofErr w:type="spellStart"/>
      <w:r w:rsidRPr="00DB4E47">
        <w:rPr>
          <w:lang w:val="en-US"/>
        </w:rPr>
        <w:t>Shachak</w:t>
      </w:r>
      <w:proofErr w:type="spellEnd"/>
      <w:r w:rsidRPr="00DB4E47">
        <w:rPr>
          <w:lang w:val="en-US"/>
        </w:rPr>
        <w:t xml:space="preserve">, A., </w:t>
      </w:r>
      <w:proofErr w:type="spellStart"/>
      <w:r w:rsidRPr="00DB4E47">
        <w:rPr>
          <w:lang w:val="en-US"/>
        </w:rPr>
        <w:t>Shuval</w:t>
      </w:r>
      <w:proofErr w:type="spellEnd"/>
      <w:r w:rsidRPr="00DB4E47">
        <w:rPr>
          <w:lang w:val="en-US"/>
        </w:rPr>
        <w:t xml:space="preserve">, K., &amp; Fine, S. (2007). Barriers and enablers to the acceptance of bioinformatics tools: a qualitative study.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Medical Library </w:t>
      </w:r>
      <w:proofErr w:type="spellStart"/>
      <w:r>
        <w:t>Association</w:t>
      </w:r>
      <w:proofErr w:type="spellEnd"/>
      <w:r>
        <w:t xml:space="preserve">, 95(4), 454–458. </w:t>
      </w:r>
      <w:hyperlink r:id="rId27" w:history="1">
        <w:r w:rsidRPr="00826291">
          <w:rPr>
            <w:rStyle w:val="Hipervnculo"/>
          </w:rPr>
          <w:t>https://doi.org/10.3163/1536-5050.95.4.454</w:t>
        </w:r>
      </w:hyperlink>
    </w:p>
    <w:p w14:paraId="625CE5C3" w14:textId="77777777" w:rsidR="00DB4E47" w:rsidRDefault="00DB4E47" w:rsidP="00DB4E47"/>
    <w:p w14:paraId="4E57D191" w14:textId="77777777" w:rsidR="00DB4E47" w:rsidRPr="00DB4E47" w:rsidRDefault="00DB4E47" w:rsidP="00DB4E47"/>
    <w:p w14:paraId="4236BBFF" w14:textId="567DC8FD" w:rsidR="00136926" w:rsidRPr="003B100A" w:rsidRDefault="00136926" w:rsidP="00136926">
      <w:pPr>
        <w:pStyle w:val="Ttulo2"/>
        <w:rPr>
          <w:caps/>
        </w:rPr>
      </w:pPr>
      <w:r>
        <w:t>Justificación TFG</w:t>
      </w:r>
      <w:r w:rsidR="009C6F09">
        <w:t xml:space="preserve"> </w:t>
      </w:r>
      <w:r w:rsidR="009C6F09" w:rsidRPr="009C6F09">
        <w:rPr>
          <w:color w:val="A02B93" w:themeColor="accent5"/>
        </w:rPr>
        <w:t>– Motivación (problema detectado)</w:t>
      </w:r>
    </w:p>
    <w:p w14:paraId="1902342B" w14:textId="77777777" w:rsidR="00136926" w:rsidRDefault="00136926" w:rsidP="009C6F09">
      <w:pPr>
        <w:pStyle w:val="Ttulo1"/>
      </w:pPr>
    </w:p>
    <w:p w14:paraId="4A648BCA" w14:textId="65EB900D" w:rsidR="00E044E2" w:rsidRPr="009C6F09" w:rsidRDefault="00E044E2" w:rsidP="009C6F09">
      <w:pPr>
        <w:pStyle w:val="Ttulo1"/>
      </w:pPr>
      <w:r w:rsidRPr="009C6F09">
        <w:t>objetivos</w:t>
      </w:r>
    </w:p>
    <w:p w14:paraId="0E53A2B9" w14:textId="77777777" w:rsidR="00E044E2" w:rsidRPr="009C6F09" w:rsidRDefault="00E044E2" w:rsidP="00136926">
      <w:pPr>
        <w:pStyle w:val="Ttulo2"/>
        <w:rPr>
          <w:color w:val="A02B93" w:themeColor="accent5"/>
        </w:rPr>
      </w:pPr>
      <w:r w:rsidRPr="009C6F09">
        <w:rPr>
          <w:color w:val="A02B93" w:themeColor="accent5"/>
        </w:rPr>
        <w:t>Objetivo general (incluir el fuera de alcance)</w:t>
      </w:r>
    </w:p>
    <w:p w14:paraId="36CCA980" w14:textId="0311BA27" w:rsidR="00CD3AC7" w:rsidRPr="00CD3AC7" w:rsidRDefault="00CD3AC7" w:rsidP="00CD3AC7">
      <w:r>
        <w:t>El objetivo principal de este TFG es el desarrollo de una aplicación web interactiva que permita a genetistas el análisis de datos genéticos mediante herramientas de reducción de la dimensionalidad, sin necesidad de poseer conocimientos de programación. La herramienta está orientada a profesionales que trabajan con grandes volúmenes de variantes genómicas, que son polimorfismos de nucleótido simple (</w:t>
      </w:r>
      <w:proofErr w:type="spellStart"/>
      <w:r>
        <w:t>SNPs</w:t>
      </w:r>
      <w:proofErr w:type="spellEnd"/>
      <w:r>
        <w:t>), deleciones, inserciones y otras variantes, que requieren de herramientas exploratorias para visualizar la estructura genética de la población analizada.</w:t>
      </w:r>
    </w:p>
    <w:p w14:paraId="39963A9F" w14:textId="77777777" w:rsidR="00E044E2" w:rsidRPr="009C6F09" w:rsidRDefault="00E044E2" w:rsidP="00136926">
      <w:pPr>
        <w:pStyle w:val="Ttulo2"/>
        <w:rPr>
          <w:color w:val="A02B93" w:themeColor="accent5"/>
        </w:rPr>
      </w:pPr>
      <w:r w:rsidRPr="009C6F09">
        <w:rPr>
          <w:color w:val="A02B93" w:themeColor="accent5"/>
        </w:rPr>
        <w:t>Objetivos específicos</w:t>
      </w:r>
    </w:p>
    <w:p w14:paraId="22636531" w14:textId="3515E7A4" w:rsidR="009032E7" w:rsidRDefault="00CD3AC7" w:rsidP="009032E7">
      <w:r>
        <w:t>Para alcanzar el o</w:t>
      </w:r>
      <w:r w:rsidR="00D772EC">
        <w:t xml:space="preserve">bjetivo general es necesario llevar a cabo los siguientes objetivos </w:t>
      </w:r>
      <w:r w:rsidR="0086517F">
        <w:t>específicos</w:t>
      </w:r>
      <w:r w:rsidR="00D772EC">
        <w:t>:</w:t>
      </w:r>
    </w:p>
    <w:p w14:paraId="3496011A" w14:textId="7BECBCAA" w:rsidR="0086517F" w:rsidRDefault="0086517F" w:rsidP="0086517F">
      <w:pPr>
        <w:pStyle w:val="Prrafodelista"/>
        <w:numPr>
          <w:ilvl w:val="0"/>
          <w:numId w:val="15"/>
        </w:numPr>
      </w:pPr>
      <w:r>
        <w:t xml:space="preserve">Integración de datos genómicos y cualitativos. </w:t>
      </w:r>
    </w:p>
    <w:p w14:paraId="04BF0C46" w14:textId="581899A2" w:rsidR="0086517F" w:rsidRDefault="0086517F" w:rsidP="0086517F">
      <w:pPr>
        <w:pStyle w:val="Prrafodelista"/>
        <w:numPr>
          <w:ilvl w:val="0"/>
          <w:numId w:val="15"/>
        </w:numPr>
      </w:pPr>
      <w:r>
        <w:t>Implementación de métodos de reducción de dimensionalidad.</w:t>
      </w:r>
    </w:p>
    <w:p w14:paraId="75869A86" w14:textId="658DCDC6" w:rsidR="0086517F" w:rsidRDefault="0086517F" w:rsidP="0086517F">
      <w:pPr>
        <w:pStyle w:val="Prrafodelista"/>
        <w:numPr>
          <w:ilvl w:val="0"/>
          <w:numId w:val="15"/>
        </w:numPr>
      </w:pPr>
      <w:r>
        <w:t>Preprocesado y filtrado de variantes.</w:t>
      </w:r>
    </w:p>
    <w:p w14:paraId="5F875670" w14:textId="771D52E1" w:rsidR="0086517F" w:rsidRDefault="0086517F" w:rsidP="0086517F">
      <w:pPr>
        <w:pStyle w:val="Prrafodelista"/>
        <w:numPr>
          <w:ilvl w:val="0"/>
          <w:numId w:val="15"/>
        </w:numPr>
      </w:pPr>
      <w:r>
        <w:t>Visualización interactiva de resultados.</w:t>
      </w:r>
    </w:p>
    <w:p w14:paraId="403F7633" w14:textId="0F57BF23" w:rsidR="0086517F" w:rsidRDefault="0086517F" w:rsidP="0086517F">
      <w:pPr>
        <w:pStyle w:val="Prrafodelista"/>
        <w:numPr>
          <w:ilvl w:val="0"/>
          <w:numId w:val="15"/>
        </w:numPr>
      </w:pPr>
      <w:r>
        <w:t>Exportación de datos procesados.</w:t>
      </w:r>
    </w:p>
    <w:p w14:paraId="6F618AFD" w14:textId="1116E62D" w:rsidR="0086517F" w:rsidRDefault="0086517F" w:rsidP="0086517F">
      <w:pPr>
        <w:pStyle w:val="Prrafodelista"/>
        <w:numPr>
          <w:ilvl w:val="0"/>
          <w:numId w:val="15"/>
        </w:numPr>
      </w:pPr>
      <w:r>
        <w:t>Accesibilidad para usuarios no programadores.</w:t>
      </w:r>
    </w:p>
    <w:p w14:paraId="3D9AB763" w14:textId="77777777" w:rsidR="00D772EC" w:rsidRPr="009032E7" w:rsidRDefault="00D772EC" w:rsidP="009032E7"/>
    <w:p w14:paraId="5353AE11" w14:textId="77777777" w:rsidR="00E044E2" w:rsidRPr="003B100A" w:rsidRDefault="00E044E2" w:rsidP="00E044E2">
      <w:pPr>
        <w:pStyle w:val="Prrafodelista"/>
        <w:spacing w:line="240" w:lineRule="auto"/>
        <w:ind w:left="1152"/>
        <w:rPr>
          <w:rFonts w:cs="Times New Roman"/>
          <w:caps/>
        </w:rPr>
      </w:pPr>
    </w:p>
    <w:p w14:paraId="7D002795" w14:textId="77777777" w:rsidR="00E044E2" w:rsidRPr="00E16D1A" w:rsidRDefault="00E044E2" w:rsidP="00E044E2">
      <w:pPr>
        <w:pStyle w:val="Prrafodelista"/>
        <w:spacing w:line="240" w:lineRule="auto"/>
        <w:ind w:left="1152"/>
        <w:rPr>
          <w:rFonts w:cs="Times New Roman"/>
          <w:caps/>
        </w:rPr>
      </w:pPr>
    </w:p>
    <w:p w14:paraId="09FB6BA1" w14:textId="77777777" w:rsidR="00E044E2" w:rsidRPr="00E044E2" w:rsidRDefault="00E044E2" w:rsidP="009C6F09">
      <w:pPr>
        <w:pStyle w:val="Ttulo1"/>
      </w:pPr>
      <w:r w:rsidRPr="00E044E2">
        <w:t>Normativa y restricciones</w:t>
      </w:r>
    </w:p>
    <w:p w14:paraId="0D5CB391" w14:textId="77777777" w:rsidR="00E044E2" w:rsidRDefault="00E044E2" w:rsidP="00136926">
      <w:pPr>
        <w:pStyle w:val="Ttulo2"/>
        <w:rPr>
          <w:caps/>
        </w:rPr>
      </w:pPr>
      <w:r>
        <w:t>Licencias del software</w:t>
      </w:r>
    </w:p>
    <w:p w14:paraId="38617E5E" w14:textId="77777777" w:rsidR="00E044E2" w:rsidRPr="003B100A" w:rsidRDefault="00E044E2" w:rsidP="00136926">
      <w:pPr>
        <w:pStyle w:val="Ttulo2"/>
        <w:rPr>
          <w:caps/>
        </w:rPr>
      </w:pPr>
      <w:r>
        <w:t>Protección de datos</w:t>
      </w:r>
    </w:p>
    <w:p w14:paraId="0F39BAF0" w14:textId="77777777" w:rsidR="00E044E2" w:rsidRPr="009032E7" w:rsidRDefault="00E044E2" w:rsidP="009032E7">
      <w:pPr>
        <w:spacing w:line="240" w:lineRule="auto"/>
        <w:rPr>
          <w:rFonts w:cs="Times New Roman"/>
          <w:caps/>
        </w:rPr>
      </w:pPr>
    </w:p>
    <w:p w14:paraId="34C5340C" w14:textId="002E1520" w:rsidR="00E044E2" w:rsidRPr="00E044E2" w:rsidRDefault="00E044E2" w:rsidP="009C6F09">
      <w:pPr>
        <w:pStyle w:val="Ttulo1"/>
      </w:pPr>
      <w:r w:rsidRPr="00E044E2">
        <w:lastRenderedPageBreak/>
        <w:t>Material y métodos</w:t>
      </w:r>
      <w:r w:rsidR="009C6F09">
        <w:t xml:space="preserve"> </w:t>
      </w:r>
      <w:r w:rsidR="009C6F09" w:rsidRPr="009C6F09">
        <w:t>– DESARROLLO DE LA APP WEB</w:t>
      </w:r>
    </w:p>
    <w:p w14:paraId="0C6A864E" w14:textId="77777777" w:rsidR="00E044E2" w:rsidRDefault="00E044E2" w:rsidP="00136926">
      <w:pPr>
        <w:pStyle w:val="Ttulo2"/>
        <w:rPr>
          <w:caps/>
        </w:rPr>
      </w:pPr>
      <w:proofErr w:type="spellStart"/>
      <w:r>
        <w:t>Arquitecutra</w:t>
      </w:r>
      <w:proofErr w:type="spellEnd"/>
      <w:r>
        <w:t xml:space="preserve"> de la aplicación</w:t>
      </w:r>
    </w:p>
    <w:p w14:paraId="6DAF1EEC" w14:textId="77777777" w:rsidR="00E044E2" w:rsidRDefault="00E044E2" w:rsidP="00136926">
      <w:pPr>
        <w:pStyle w:val="Ttulo2"/>
        <w:rPr>
          <w:caps/>
        </w:rPr>
      </w:pPr>
      <w:r>
        <w:t>Tecnología y librerías utilizadas</w:t>
      </w:r>
    </w:p>
    <w:p w14:paraId="72423399" w14:textId="77777777" w:rsidR="00E044E2" w:rsidRDefault="00E044E2" w:rsidP="00136926">
      <w:pPr>
        <w:pStyle w:val="Ttulo2"/>
        <w:rPr>
          <w:caps/>
        </w:rPr>
      </w:pPr>
      <w:r>
        <w:t>Modos de operación</w:t>
      </w:r>
    </w:p>
    <w:p w14:paraId="70C27C20" w14:textId="77777777" w:rsidR="00E044E2" w:rsidRDefault="00E044E2" w:rsidP="00136926">
      <w:pPr>
        <w:pStyle w:val="Ttulo2"/>
        <w:rPr>
          <w:caps/>
        </w:rPr>
      </w:pPr>
      <w:r>
        <w:t>Parámetros estadísticos del análisis</w:t>
      </w:r>
    </w:p>
    <w:p w14:paraId="7020C817" w14:textId="77777777" w:rsidR="00E044E2" w:rsidRDefault="00E044E2" w:rsidP="00136926">
      <w:pPr>
        <w:pStyle w:val="Ttulo3"/>
        <w:numPr>
          <w:ilvl w:val="2"/>
          <w:numId w:val="17"/>
        </w:numPr>
        <w:rPr>
          <w:caps/>
          <w:lang w:val="en-US"/>
        </w:rPr>
      </w:pPr>
      <w:proofErr w:type="spellStart"/>
      <w:r w:rsidRPr="003B100A">
        <w:rPr>
          <w:lang w:val="en-US"/>
        </w:rPr>
        <w:t>Max_sample_gt_missing_r</w:t>
      </w:r>
      <w:r>
        <w:rPr>
          <w:lang w:val="en-US"/>
        </w:rPr>
        <w:t>ate</w:t>
      </w:r>
      <w:proofErr w:type="spellEnd"/>
    </w:p>
    <w:p w14:paraId="34A90CEC" w14:textId="77777777" w:rsidR="00E044E2" w:rsidRDefault="00E044E2" w:rsidP="00136926">
      <w:pPr>
        <w:pStyle w:val="Ttulo3"/>
        <w:numPr>
          <w:ilvl w:val="2"/>
          <w:numId w:val="17"/>
        </w:numPr>
        <w:rPr>
          <w:caps/>
          <w:lang w:val="en-US"/>
        </w:rPr>
      </w:pPr>
      <w:proofErr w:type="spellStart"/>
      <w:r>
        <w:rPr>
          <w:caps/>
          <w:lang w:val="en-US"/>
        </w:rPr>
        <w:t>m</w:t>
      </w:r>
      <w:r>
        <w:rPr>
          <w:lang w:val="en-US"/>
        </w:rPr>
        <w:t>ax_var_gt_missing_rate</w:t>
      </w:r>
      <w:proofErr w:type="spellEnd"/>
    </w:p>
    <w:p w14:paraId="5461893B" w14:textId="77777777" w:rsidR="00E044E2" w:rsidRDefault="00E044E2" w:rsidP="00136926">
      <w:pPr>
        <w:pStyle w:val="Ttulo3"/>
        <w:numPr>
          <w:ilvl w:val="2"/>
          <w:numId w:val="17"/>
        </w:numPr>
        <w:rPr>
          <w:caps/>
          <w:lang w:val="en-US"/>
        </w:rPr>
      </w:pPr>
      <w:proofErr w:type="spellStart"/>
      <w:r>
        <w:rPr>
          <w:lang w:val="en-US"/>
        </w:rPr>
        <w:t>Max_allowed_maf</w:t>
      </w:r>
      <w:proofErr w:type="spellEnd"/>
    </w:p>
    <w:p w14:paraId="3CDA91EC" w14:textId="77777777" w:rsidR="00E044E2" w:rsidRDefault="00E044E2" w:rsidP="00136926">
      <w:pPr>
        <w:pStyle w:val="Ttulo3"/>
        <w:numPr>
          <w:ilvl w:val="2"/>
          <w:numId w:val="17"/>
        </w:numPr>
        <w:rPr>
          <w:caps/>
          <w:lang w:val="en-US"/>
        </w:rPr>
      </w:pPr>
      <w:r>
        <w:rPr>
          <w:lang w:val="en-US"/>
        </w:rPr>
        <w:t>Max_allowed_r2</w:t>
      </w:r>
    </w:p>
    <w:p w14:paraId="281CDD62" w14:textId="77777777" w:rsidR="00E044E2" w:rsidRPr="003B100A" w:rsidRDefault="00E044E2" w:rsidP="00136926">
      <w:pPr>
        <w:pStyle w:val="Ttulo3"/>
        <w:numPr>
          <w:ilvl w:val="2"/>
          <w:numId w:val="17"/>
        </w:numPr>
        <w:rPr>
          <w:caps/>
          <w:lang w:val="en-US"/>
        </w:rPr>
      </w:pPr>
      <w:r>
        <w:rPr>
          <w:lang w:val="en-US"/>
        </w:rPr>
        <w:t xml:space="preserve">Distancia de </w:t>
      </w:r>
      <w:proofErr w:type="spellStart"/>
      <w:r>
        <w:rPr>
          <w:lang w:val="en-US"/>
        </w:rPr>
        <w:t>kosman</w:t>
      </w:r>
      <w:proofErr w:type="spellEnd"/>
    </w:p>
    <w:p w14:paraId="7665B97D" w14:textId="3DAE2E97" w:rsidR="00E044E2" w:rsidRDefault="00C8497A" w:rsidP="00136926">
      <w:pPr>
        <w:pStyle w:val="Ttulo2"/>
      </w:pPr>
      <w:r>
        <w:t>T</w:t>
      </w:r>
      <w:r w:rsidR="00E044E2">
        <w:t>ratamientos de errores y testeos</w:t>
      </w:r>
    </w:p>
    <w:p w14:paraId="3789D5CA" w14:textId="77777777" w:rsidR="00E044E2" w:rsidRPr="00E16D1A" w:rsidRDefault="00E044E2" w:rsidP="00E044E2">
      <w:pPr>
        <w:pStyle w:val="Prrafodelista"/>
        <w:spacing w:line="240" w:lineRule="auto"/>
        <w:ind w:left="1152"/>
        <w:jc w:val="both"/>
        <w:rPr>
          <w:rFonts w:cs="Times New Roman"/>
          <w:caps/>
        </w:rPr>
      </w:pPr>
    </w:p>
    <w:p w14:paraId="3DDB7715" w14:textId="77777777" w:rsidR="00E044E2" w:rsidRPr="00E044E2" w:rsidRDefault="00E044E2" w:rsidP="009C6F09">
      <w:pPr>
        <w:pStyle w:val="Ttulo1"/>
      </w:pPr>
      <w:r w:rsidRPr="00E044E2">
        <w:t>Resultados</w:t>
      </w:r>
    </w:p>
    <w:p w14:paraId="27742C29" w14:textId="77777777" w:rsidR="00E044E2" w:rsidRDefault="00E044E2" w:rsidP="00136926">
      <w:pPr>
        <w:pStyle w:val="Ttulo2"/>
        <w:rPr>
          <w:caps/>
        </w:rPr>
      </w:pPr>
      <w:r>
        <w:t>Ejemplos de uso</w:t>
      </w:r>
    </w:p>
    <w:p w14:paraId="2ECED7F8" w14:textId="77777777" w:rsidR="00E044E2" w:rsidRDefault="00E044E2" w:rsidP="00136926">
      <w:pPr>
        <w:pStyle w:val="Ttulo3"/>
        <w:numPr>
          <w:ilvl w:val="2"/>
          <w:numId w:val="17"/>
        </w:numPr>
        <w:rPr>
          <w:caps/>
        </w:rPr>
      </w:pPr>
      <w:r>
        <w:t>Modo genómico (</w:t>
      </w:r>
      <w:proofErr w:type="spellStart"/>
      <w:r>
        <w:t>vcf</w:t>
      </w:r>
      <w:proofErr w:type="spellEnd"/>
      <w:r>
        <w:t>)</w:t>
      </w:r>
    </w:p>
    <w:p w14:paraId="50400BFA" w14:textId="77777777" w:rsidR="00E044E2" w:rsidRDefault="00E044E2" w:rsidP="00136926">
      <w:pPr>
        <w:pStyle w:val="Ttulo3"/>
        <w:numPr>
          <w:ilvl w:val="2"/>
          <w:numId w:val="17"/>
        </w:numPr>
        <w:rPr>
          <w:caps/>
        </w:rPr>
      </w:pPr>
      <w:r>
        <w:t>Modo cuantitativo (</w:t>
      </w:r>
      <w:proofErr w:type="spellStart"/>
      <w:r>
        <w:t>csv</w:t>
      </w:r>
      <w:proofErr w:type="spellEnd"/>
      <w:r>
        <w:t>)</w:t>
      </w:r>
    </w:p>
    <w:p w14:paraId="44184937" w14:textId="77777777" w:rsidR="00E044E2" w:rsidRDefault="00E044E2" w:rsidP="00136926">
      <w:pPr>
        <w:pStyle w:val="Ttulo3"/>
        <w:numPr>
          <w:ilvl w:val="2"/>
          <w:numId w:val="17"/>
        </w:numPr>
        <w:rPr>
          <w:caps/>
        </w:rPr>
      </w:pPr>
      <w:r>
        <w:t>Modo matriz de distancias</w:t>
      </w:r>
    </w:p>
    <w:p w14:paraId="72BDA330" w14:textId="77777777" w:rsidR="00E044E2" w:rsidRDefault="00E044E2" w:rsidP="00136926">
      <w:pPr>
        <w:pStyle w:val="Ttulo2"/>
        <w:rPr>
          <w:caps/>
        </w:rPr>
      </w:pPr>
      <w:r>
        <w:t>Validación funcional</w:t>
      </w:r>
    </w:p>
    <w:p w14:paraId="702A4AF7" w14:textId="77777777" w:rsidR="00E044E2" w:rsidRDefault="00E044E2" w:rsidP="00136926">
      <w:pPr>
        <w:pStyle w:val="Ttulo3"/>
        <w:numPr>
          <w:ilvl w:val="2"/>
          <w:numId w:val="17"/>
        </w:numPr>
        <w:rPr>
          <w:caps/>
        </w:rPr>
      </w:pPr>
      <w:r>
        <w:t>Compatibilidad con datos de genética animal y vegetal</w:t>
      </w:r>
    </w:p>
    <w:p w14:paraId="218AE08A" w14:textId="77777777" w:rsidR="00E044E2" w:rsidRDefault="00E044E2" w:rsidP="00136926">
      <w:pPr>
        <w:pStyle w:val="Ttulo3"/>
        <w:numPr>
          <w:ilvl w:val="2"/>
          <w:numId w:val="17"/>
        </w:numPr>
        <w:rPr>
          <w:caps/>
        </w:rPr>
      </w:pPr>
      <w:r>
        <w:t>Comportamiento ante errores</w:t>
      </w:r>
    </w:p>
    <w:p w14:paraId="67D4DCE1" w14:textId="77777777" w:rsidR="00E044E2" w:rsidRDefault="00E044E2" w:rsidP="00136926">
      <w:pPr>
        <w:pStyle w:val="Ttulo3"/>
        <w:numPr>
          <w:ilvl w:val="2"/>
          <w:numId w:val="17"/>
        </w:numPr>
        <w:rPr>
          <w:caps/>
        </w:rPr>
      </w:pPr>
      <w:r>
        <w:t>Pruebas desde otros dispositivos</w:t>
      </w:r>
    </w:p>
    <w:p w14:paraId="6C2AA044" w14:textId="77777777" w:rsidR="00E044E2" w:rsidRPr="003B100A" w:rsidRDefault="00E044E2" w:rsidP="00136926">
      <w:pPr>
        <w:pStyle w:val="Ttulo3"/>
        <w:numPr>
          <w:ilvl w:val="2"/>
          <w:numId w:val="17"/>
        </w:numPr>
        <w:rPr>
          <w:caps/>
        </w:rPr>
      </w:pPr>
      <w:r>
        <w:t>Prueba de campo</w:t>
      </w:r>
    </w:p>
    <w:p w14:paraId="3A534C8F" w14:textId="77777777" w:rsidR="00E044E2" w:rsidRPr="00E16D1A" w:rsidRDefault="00E044E2" w:rsidP="00E044E2">
      <w:pPr>
        <w:pStyle w:val="Prrafodelista"/>
        <w:spacing w:line="240" w:lineRule="auto"/>
        <w:ind w:left="1582"/>
        <w:jc w:val="both"/>
        <w:rPr>
          <w:rFonts w:cs="Times New Roman"/>
          <w:caps/>
        </w:rPr>
      </w:pPr>
    </w:p>
    <w:p w14:paraId="0D213D3F" w14:textId="51EF863E" w:rsidR="00E044E2" w:rsidRPr="00E044E2" w:rsidRDefault="00E044E2" w:rsidP="009C6F09">
      <w:pPr>
        <w:pStyle w:val="Ttulo1"/>
      </w:pPr>
      <w:r w:rsidRPr="00E16D1A">
        <w:lastRenderedPageBreak/>
        <w:t>Discusión</w:t>
      </w:r>
    </w:p>
    <w:p w14:paraId="17C238E8" w14:textId="6CFDDA87" w:rsidR="00E044E2" w:rsidRPr="00E044E2" w:rsidRDefault="00E044E2" w:rsidP="009C6F09">
      <w:pPr>
        <w:pStyle w:val="Ttulo1"/>
      </w:pPr>
      <w:r w:rsidRPr="00E16D1A">
        <w:t xml:space="preserve">Limitaciones y líneas futuras </w:t>
      </w:r>
    </w:p>
    <w:p w14:paraId="5DED28D9" w14:textId="61B55D5C" w:rsidR="00E044E2" w:rsidRPr="00E044E2" w:rsidRDefault="00E044E2" w:rsidP="009C6F09">
      <w:pPr>
        <w:pStyle w:val="Ttulo1"/>
      </w:pPr>
      <w:r w:rsidRPr="00E16D1A">
        <w:t>Conclusión</w:t>
      </w:r>
    </w:p>
    <w:p w14:paraId="676002FA" w14:textId="05CB770E" w:rsidR="00E044E2" w:rsidRDefault="00E044E2" w:rsidP="009C6F09">
      <w:pPr>
        <w:pStyle w:val="Ttulo1"/>
      </w:pPr>
      <w:r w:rsidRPr="00E16D1A">
        <w:t>Objetivos de desarrollo sostenible (ODS)</w:t>
      </w:r>
    </w:p>
    <w:p w14:paraId="029B13DB" w14:textId="69A30563" w:rsidR="00E044E2" w:rsidRDefault="00E044E2" w:rsidP="009C6F09">
      <w:pPr>
        <w:pStyle w:val="Ttulo1"/>
      </w:pPr>
      <w:r w:rsidRPr="00E16D1A">
        <w:t>bibliografía</w:t>
      </w:r>
    </w:p>
    <w:p w14:paraId="0ECFC655" w14:textId="77777777" w:rsidR="001C426D" w:rsidRPr="001C426D" w:rsidRDefault="001C426D" w:rsidP="001C426D"/>
    <w:p w14:paraId="12557D45" w14:textId="77777777" w:rsidR="00E044E2" w:rsidRPr="00E044E2" w:rsidRDefault="00E044E2" w:rsidP="009C6F09">
      <w:pPr>
        <w:pStyle w:val="Ttulo1"/>
      </w:pPr>
      <w:r>
        <w:t>anexos</w:t>
      </w:r>
    </w:p>
    <w:p w14:paraId="74B38932" w14:textId="77777777" w:rsidR="00E044E2" w:rsidRDefault="00E044E2" w:rsidP="00136926">
      <w:pPr>
        <w:pStyle w:val="Ttulo2"/>
        <w:rPr>
          <w:caps/>
        </w:rPr>
      </w:pPr>
      <w:r>
        <w:rPr>
          <w:caps/>
        </w:rPr>
        <w:t>A</w:t>
      </w:r>
      <w:r>
        <w:t>nexo A: Manual del Usuario</w:t>
      </w:r>
    </w:p>
    <w:p w14:paraId="26A33ECC" w14:textId="77777777" w:rsidR="00E044E2" w:rsidRPr="003B100A" w:rsidRDefault="00E044E2" w:rsidP="00136926">
      <w:pPr>
        <w:pStyle w:val="Ttulo2"/>
        <w:rPr>
          <w:caps/>
        </w:rPr>
      </w:pPr>
      <w:r>
        <w:t>Anexo B</w:t>
      </w:r>
      <w:r>
        <w:rPr>
          <w:caps/>
        </w:rPr>
        <w:t>:</w:t>
      </w:r>
      <w:r>
        <w:t xml:space="preserve"> Manual del Programador</w:t>
      </w:r>
    </w:p>
    <w:p w14:paraId="6A05F776" w14:textId="739C8B0B" w:rsidR="007B7BF2" w:rsidRDefault="00E044E2" w:rsidP="009C6F09">
      <w:pPr>
        <w:pStyle w:val="Ttulo1"/>
      </w:pPr>
      <w:r>
        <w:br w:type="page"/>
      </w:r>
      <w:r w:rsidR="007B7BF2">
        <w:lastRenderedPageBreak/>
        <w:t>Motivación</w:t>
      </w:r>
    </w:p>
    <w:p w14:paraId="29146CF7" w14:textId="31FECF07" w:rsidR="007B7BF2" w:rsidRDefault="007B7BF2" w:rsidP="009C6F09">
      <w:pPr>
        <w:pStyle w:val="Ttulo1"/>
      </w:pPr>
      <w:r>
        <w:t>Estado del arte</w:t>
      </w:r>
    </w:p>
    <w:p w14:paraId="50B3D053" w14:textId="1408CA6E" w:rsidR="007B7BF2" w:rsidRDefault="007B7BF2" w:rsidP="009C6F09">
      <w:pPr>
        <w:pStyle w:val="Ttulo1"/>
      </w:pPr>
      <w:r>
        <w:t>Fundamentos teóricos</w:t>
      </w:r>
    </w:p>
    <w:p w14:paraId="39CB2F90" w14:textId="592DD42F" w:rsidR="007B7BF2" w:rsidRDefault="007B7BF2" w:rsidP="009C6F09">
      <w:pPr>
        <w:pStyle w:val="Ttulo1"/>
      </w:pPr>
      <w:r>
        <w:t>Objetivos</w:t>
      </w:r>
    </w:p>
    <w:p w14:paraId="56C97C1A" w14:textId="71820BF4" w:rsidR="007B7BF2" w:rsidRDefault="007B7BF2" w:rsidP="009C6F09">
      <w:pPr>
        <w:pStyle w:val="Ttulo1"/>
      </w:pPr>
      <w:r>
        <w:t>Entorno de desarrollo</w:t>
      </w:r>
    </w:p>
    <w:p w14:paraId="2C18F69E" w14:textId="576DD94B" w:rsidR="007B7BF2" w:rsidRDefault="007B7BF2" w:rsidP="009C6F09">
      <w:pPr>
        <w:pStyle w:val="Ttulo1"/>
      </w:pPr>
      <w:r>
        <w:t>Desarrollo</w:t>
      </w:r>
    </w:p>
    <w:p w14:paraId="2FB10B7F" w14:textId="2230CA33" w:rsidR="007B7BF2" w:rsidRPr="007B7BF2" w:rsidRDefault="007B7BF2" w:rsidP="009C6F09">
      <w:pPr>
        <w:pStyle w:val="Ttulo1"/>
      </w:pPr>
      <w:r>
        <w:t>Validación / Pruebas de uso</w:t>
      </w:r>
    </w:p>
    <w:p w14:paraId="2F586893" w14:textId="77777777" w:rsidR="007B7BF2" w:rsidRDefault="007B7BF2">
      <w:pPr>
        <w:rPr>
          <w:rFonts w:asciiTheme="majorHAnsi" w:eastAsiaTheme="majorEastAsia" w:hAnsiTheme="majorHAnsi" w:cstheme="majorBidi"/>
          <w:b/>
          <w:caps/>
          <w:color w:val="0F4761" w:themeColor="accent1" w:themeShade="BF"/>
          <w:sz w:val="32"/>
          <w:szCs w:val="40"/>
        </w:rPr>
      </w:pPr>
      <w:r>
        <w:br w:type="page"/>
      </w:r>
    </w:p>
    <w:p w14:paraId="00A77B40" w14:textId="77777777" w:rsidR="007B7BF2" w:rsidRPr="007B7BF2" w:rsidRDefault="007B7BF2" w:rsidP="009C6F09">
      <w:pPr>
        <w:pStyle w:val="Ttulo1"/>
      </w:pPr>
    </w:p>
    <w:p w14:paraId="5FACE6DB" w14:textId="029C9E9F" w:rsidR="00E044E2" w:rsidRDefault="00E044E2" w:rsidP="00E044E2">
      <w:pPr>
        <w:pStyle w:val="Ttulo"/>
      </w:pPr>
      <w:r>
        <w:t>PRESUPUESTO</w:t>
      </w:r>
    </w:p>
    <w:p w14:paraId="222A810E" w14:textId="53A5BD0B" w:rsidR="00C5418F" w:rsidRDefault="00C5418F">
      <w:r>
        <w:br w:type="page"/>
      </w:r>
    </w:p>
    <w:p w14:paraId="23098A83" w14:textId="77777777" w:rsidR="00C5418F" w:rsidRDefault="00C5418F" w:rsidP="009C6F09">
      <w:pPr>
        <w:pStyle w:val="Ttulo1"/>
      </w:pPr>
      <w:r>
        <w:lastRenderedPageBreak/>
        <w:t>ÍNDICE PRESUPUESTO</w:t>
      </w:r>
    </w:p>
    <w:p w14:paraId="40138022" w14:textId="77777777" w:rsidR="00C5418F" w:rsidRPr="003678F0" w:rsidRDefault="00C5418F" w:rsidP="003678F0">
      <w:pPr>
        <w:spacing w:line="240" w:lineRule="auto"/>
        <w:jc w:val="both"/>
        <w:rPr>
          <w:rFonts w:cs="Times New Roman"/>
        </w:rPr>
      </w:pPr>
      <w:r w:rsidRPr="003678F0">
        <w:rPr>
          <w:rFonts w:cs="Times New Roman"/>
        </w:rPr>
        <w:t>INTRODUCCIÓN</w:t>
      </w:r>
    </w:p>
    <w:p w14:paraId="47276933" w14:textId="77777777" w:rsidR="00C5418F" w:rsidRPr="003678F0" w:rsidRDefault="00C5418F" w:rsidP="003678F0">
      <w:pPr>
        <w:spacing w:line="240" w:lineRule="auto"/>
        <w:jc w:val="both"/>
        <w:rPr>
          <w:rFonts w:cs="Times New Roman"/>
        </w:rPr>
      </w:pPr>
      <w:r w:rsidRPr="003678F0">
        <w:rPr>
          <w:rFonts w:cs="Times New Roman"/>
        </w:rPr>
        <w:t>COSTES DE PERSONAL</w:t>
      </w:r>
    </w:p>
    <w:p w14:paraId="4DFBA2FE" w14:textId="77777777" w:rsidR="00C5418F" w:rsidRPr="003678F0" w:rsidRDefault="00C5418F" w:rsidP="003678F0">
      <w:pPr>
        <w:spacing w:line="240" w:lineRule="auto"/>
        <w:jc w:val="both"/>
        <w:rPr>
          <w:rFonts w:cs="Times New Roman"/>
        </w:rPr>
      </w:pPr>
      <w:r w:rsidRPr="003678F0">
        <w:rPr>
          <w:rFonts w:cs="Times New Roman"/>
        </w:rPr>
        <w:t>COSTES DE SOFTWARE Y HERRAMIENTAS</w:t>
      </w:r>
    </w:p>
    <w:p w14:paraId="49A8BF77" w14:textId="77777777" w:rsidR="00C5418F" w:rsidRPr="003678F0" w:rsidRDefault="00C5418F" w:rsidP="003678F0">
      <w:pPr>
        <w:spacing w:line="240" w:lineRule="auto"/>
        <w:jc w:val="both"/>
        <w:rPr>
          <w:rFonts w:cs="Times New Roman"/>
        </w:rPr>
      </w:pPr>
      <w:r w:rsidRPr="003678F0">
        <w:rPr>
          <w:rFonts w:cs="Times New Roman"/>
        </w:rPr>
        <w:t>COSTES TOTALES</w:t>
      </w:r>
    </w:p>
    <w:p w14:paraId="27FC0966" w14:textId="0B016905" w:rsidR="00C5418F" w:rsidRPr="00C5418F" w:rsidRDefault="00C5418F" w:rsidP="00C5418F">
      <w:r>
        <w:br w:type="page"/>
      </w:r>
    </w:p>
    <w:p w14:paraId="07215C18" w14:textId="77777777" w:rsidR="00E044E2" w:rsidRDefault="00E044E2" w:rsidP="009C6F09">
      <w:pPr>
        <w:pStyle w:val="Ttulo1"/>
        <w:numPr>
          <w:ilvl w:val="0"/>
          <w:numId w:val="14"/>
        </w:numPr>
      </w:pPr>
      <w:r>
        <w:lastRenderedPageBreak/>
        <w:t>INTRODUCCIÓN</w:t>
      </w:r>
    </w:p>
    <w:p w14:paraId="25D6B3DA" w14:textId="77777777" w:rsidR="00E044E2" w:rsidRDefault="00E044E2" w:rsidP="009C6F09">
      <w:pPr>
        <w:pStyle w:val="Ttulo1"/>
        <w:numPr>
          <w:ilvl w:val="0"/>
          <w:numId w:val="14"/>
        </w:numPr>
      </w:pPr>
      <w:r>
        <w:t>COSTES DE PERSONAL</w:t>
      </w:r>
    </w:p>
    <w:p w14:paraId="38BE6F56" w14:textId="77777777" w:rsidR="00E044E2" w:rsidRDefault="00E044E2" w:rsidP="009C6F09">
      <w:pPr>
        <w:pStyle w:val="Ttulo1"/>
        <w:numPr>
          <w:ilvl w:val="0"/>
          <w:numId w:val="14"/>
        </w:numPr>
      </w:pPr>
      <w:r>
        <w:t>COSTES DE SOFTWARE Y HERRAMIENTAS</w:t>
      </w:r>
    </w:p>
    <w:p w14:paraId="7CC21878" w14:textId="77777777" w:rsidR="00E044E2" w:rsidRPr="00523554" w:rsidRDefault="00E044E2" w:rsidP="009C6F09">
      <w:pPr>
        <w:pStyle w:val="Ttulo1"/>
        <w:numPr>
          <w:ilvl w:val="0"/>
          <w:numId w:val="14"/>
        </w:numPr>
      </w:pPr>
      <w:r>
        <w:t>COSTES TOTALES</w:t>
      </w:r>
    </w:p>
    <w:p w14:paraId="5B09DF06" w14:textId="77777777" w:rsidR="00E044E2" w:rsidRPr="00E31130" w:rsidRDefault="00E044E2" w:rsidP="003B7D04">
      <w:pPr>
        <w:rPr>
          <w:rFonts w:ascii="Times New Roman" w:hAnsi="Times New Roman" w:cs="Times New Roman"/>
        </w:rPr>
      </w:pPr>
    </w:p>
    <w:sectPr w:rsidR="00E044E2" w:rsidRPr="00E31130" w:rsidSect="003678F0">
      <w:footerReference w:type="default" r:id="rId28"/>
      <w:pgSz w:w="11906" w:h="16838"/>
      <w:pgMar w:top="1418" w:right="1418" w:bottom="1418"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E1C39" w14:textId="77777777" w:rsidR="002B408A" w:rsidRDefault="002B408A" w:rsidP="00E31130">
      <w:pPr>
        <w:spacing w:after="0" w:line="240" w:lineRule="auto"/>
      </w:pPr>
      <w:r>
        <w:separator/>
      </w:r>
    </w:p>
  </w:endnote>
  <w:endnote w:type="continuationSeparator" w:id="0">
    <w:p w14:paraId="66473FC3" w14:textId="77777777" w:rsidR="002B408A" w:rsidRDefault="002B408A" w:rsidP="00E31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85514"/>
      <w:docPartObj>
        <w:docPartGallery w:val="Page Numbers (Bottom of Page)"/>
        <w:docPartUnique/>
      </w:docPartObj>
    </w:sdtPr>
    <w:sdtContent>
      <w:p w14:paraId="1465E13A" w14:textId="66DE80B4" w:rsidR="003678F0" w:rsidRDefault="003678F0">
        <w:pPr>
          <w:pStyle w:val="Piedepgina"/>
          <w:jc w:val="right"/>
        </w:pPr>
        <w:r>
          <w:fldChar w:fldCharType="begin"/>
        </w:r>
        <w:r>
          <w:instrText>PAGE   \* MERGEFORMAT</w:instrText>
        </w:r>
        <w:r>
          <w:fldChar w:fldCharType="separate"/>
        </w:r>
        <w:r>
          <w:t>2</w:t>
        </w:r>
        <w:r>
          <w:fldChar w:fldCharType="end"/>
        </w:r>
      </w:p>
    </w:sdtContent>
  </w:sdt>
  <w:p w14:paraId="2E2651A2" w14:textId="77777777" w:rsidR="00E31130" w:rsidRDefault="00E3113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C605" w14:textId="77777777" w:rsidR="002B408A" w:rsidRDefault="002B408A" w:rsidP="00E31130">
      <w:pPr>
        <w:spacing w:after="0" w:line="240" w:lineRule="auto"/>
      </w:pPr>
      <w:r>
        <w:separator/>
      </w:r>
    </w:p>
  </w:footnote>
  <w:footnote w:type="continuationSeparator" w:id="0">
    <w:p w14:paraId="4702A31B" w14:textId="77777777" w:rsidR="002B408A" w:rsidRDefault="002B408A" w:rsidP="00E31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49F"/>
    <w:multiLevelType w:val="hybridMultilevel"/>
    <w:tmpl w:val="1FE28E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810571"/>
    <w:multiLevelType w:val="multilevel"/>
    <w:tmpl w:val="BD6C550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08BF3090"/>
    <w:multiLevelType w:val="multilevel"/>
    <w:tmpl w:val="BD6C550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091E6AA1"/>
    <w:multiLevelType w:val="hybridMultilevel"/>
    <w:tmpl w:val="057EFD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C4A6A"/>
    <w:multiLevelType w:val="multilevel"/>
    <w:tmpl w:val="BD6C550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16671CFF"/>
    <w:multiLevelType w:val="hybridMultilevel"/>
    <w:tmpl w:val="2AEC1DF0"/>
    <w:lvl w:ilvl="0" w:tplc="DE0051E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3067136D"/>
    <w:multiLevelType w:val="multilevel"/>
    <w:tmpl w:val="BD6C550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37FF6365"/>
    <w:multiLevelType w:val="hybridMultilevel"/>
    <w:tmpl w:val="B452416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8F95972"/>
    <w:multiLevelType w:val="hybridMultilevel"/>
    <w:tmpl w:val="B05C29A2"/>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2C53163"/>
    <w:multiLevelType w:val="multilevel"/>
    <w:tmpl w:val="BD6C550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45AB06AA"/>
    <w:multiLevelType w:val="hybridMultilevel"/>
    <w:tmpl w:val="9AA4F7F4"/>
    <w:lvl w:ilvl="0" w:tplc="F594D284">
      <w:numFmt w:val="bullet"/>
      <w:lvlText w:val="-"/>
      <w:lvlJc w:val="left"/>
      <w:pPr>
        <w:ind w:left="1068" w:hanging="360"/>
      </w:pPr>
      <w:rPr>
        <w:rFonts w:ascii="Times New Roman" w:eastAsiaTheme="minorHAnsi" w:hAnsi="Times New Roman" w:cs="Times New Roman"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54E81057"/>
    <w:multiLevelType w:val="multilevel"/>
    <w:tmpl w:val="BD6C550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5C046193"/>
    <w:multiLevelType w:val="hybridMultilevel"/>
    <w:tmpl w:val="1FE28ED4"/>
    <w:lvl w:ilvl="0" w:tplc="0C0A000F">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5E774977"/>
    <w:multiLevelType w:val="hybridMultilevel"/>
    <w:tmpl w:val="447C9BC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608C226A"/>
    <w:multiLevelType w:val="multilevel"/>
    <w:tmpl w:val="BD6C550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63BF5A4C"/>
    <w:multiLevelType w:val="hybridMultilevel"/>
    <w:tmpl w:val="B5AE8188"/>
    <w:lvl w:ilvl="0" w:tplc="F594D284">
      <w:numFmt w:val="bullet"/>
      <w:lvlText w:val="-"/>
      <w:lvlJc w:val="left"/>
      <w:pPr>
        <w:ind w:left="1068"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6255D15"/>
    <w:multiLevelType w:val="multilevel"/>
    <w:tmpl w:val="BD6C550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7" w15:restartNumberingAfterBreak="0">
    <w:nsid w:val="6C275767"/>
    <w:multiLevelType w:val="hybridMultilevel"/>
    <w:tmpl w:val="B0009AD4"/>
    <w:lvl w:ilvl="0" w:tplc="179C2402">
      <w:numFmt w:val="bullet"/>
      <w:lvlText w:val="-"/>
      <w:lvlJc w:val="left"/>
      <w:pPr>
        <w:ind w:left="720" w:hanging="360"/>
      </w:pPr>
      <w:rPr>
        <w:rFonts w:ascii="Aptos" w:eastAsiaTheme="minorHAnsi" w:hAnsi="Apto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C9C5311"/>
    <w:multiLevelType w:val="multilevel"/>
    <w:tmpl w:val="63BEDE16"/>
    <w:lvl w:ilvl="0">
      <w:start w:val="1"/>
      <w:numFmt w:val="decimal"/>
      <w:suff w:val="space"/>
      <w:lvlText w:val="%1."/>
      <w:lvlJc w:val="left"/>
      <w:pPr>
        <w:ind w:left="720" w:hanging="720"/>
      </w:pPr>
      <w:rPr>
        <w:rFonts w:hint="default"/>
      </w:rPr>
    </w:lvl>
    <w:lvl w:ilvl="1">
      <w:start w:val="1"/>
      <w:numFmt w:val="decimal"/>
      <w:pStyle w:val="Ttulo2"/>
      <w:lvlText w:val="%1.%2."/>
      <w:lvlJc w:val="left"/>
      <w:pPr>
        <w:ind w:left="1152" w:hanging="698"/>
      </w:pPr>
      <w:rPr>
        <w:rFonts w:hint="default"/>
      </w:rPr>
    </w:lvl>
    <w:lvl w:ilvl="2">
      <w:start w:val="1"/>
      <w:numFmt w:val="decimal"/>
      <w:suff w:val="space"/>
      <w:lvlText w:val="%1.%2.%3."/>
      <w:lvlJc w:val="left"/>
      <w:pPr>
        <w:ind w:left="1582" w:hanging="502"/>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907693961">
    <w:abstractNumId w:val="10"/>
  </w:num>
  <w:num w:numId="2" w16cid:durableId="182790872">
    <w:abstractNumId w:val="15"/>
  </w:num>
  <w:num w:numId="3" w16cid:durableId="1139229769">
    <w:abstractNumId w:val="8"/>
  </w:num>
  <w:num w:numId="4" w16cid:durableId="953287876">
    <w:abstractNumId w:val="17"/>
  </w:num>
  <w:num w:numId="5" w16cid:durableId="820854834">
    <w:abstractNumId w:val="5"/>
  </w:num>
  <w:num w:numId="6" w16cid:durableId="1985234523">
    <w:abstractNumId w:val="6"/>
  </w:num>
  <w:num w:numId="7" w16cid:durableId="820198887">
    <w:abstractNumId w:val="12"/>
  </w:num>
  <w:num w:numId="8" w16cid:durableId="2073191012">
    <w:abstractNumId w:val="1"/>
  </w:num>
  <w:num w:numId="9" w16cid:durableId="686558540">
    <w:abstractNumId w:val="14"/>
  </w:num>
  <w:num w:numId="10" w16cid:durableId="472063691">
    <w:abstractNumId w:val="2"/>
  </w:num>
  <w:num w:numId="11" w16cid:durableId="1459880591">
    <w:abstractNumId w:val="11"/>
  </w:num>
  <w:num w:numId="12" w16cid:durableId="593168156">
    <w:abstractNumId w:val="18"/>
  </w:num>
  <w:num w:numId="13" w16cid:durableId="980307254">
    <w:abstractNumId w:val="16"/>
  </w:num>
  <w:num w:numId="14" w16cid:durableId="2045207432">
    <w:abstractNumId w:val="4"/>
  </w:num>
  <w:num w:numId="15" w16cid:durableId="1109548002">
    <w:abstractNumId w:val="7"/>
  </w:num>
  <w:num w:numId="16" w16cid:durableId="4241573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8600699">
    <w:abstractNumId w:val="18"/>
  </w:num>
  <w:num w:numId="18" w16cid:durableId="1660645402">
    <w:abstractNumId w:val="13"/>
  </w:num>
  <w:num w:numId="19" w16cid:durableId="1214346858">
    <w:abstractNumId w:val="3"/>
  </w:num>
  <w:num w:numId="20" w16cid:durableId="1545098938">
    <w:abstractNumId w:val="9"/>
  </w:num>
  <w:num w:numId="21" w16cid:durableId="66343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7F"/>
    <w:rsid w:val="00031A81"/>
    <w:rsid w:val="0008082C"/>
    <w:rsid w:val="000C7548"/>
    <w:rsid w:val="001212D3"/>
    <w:rsid w:val="00136926"/>
    <w:rsid w:val="00192CD3"/>
    <w:rsid w:val="001C426D"/>
    <w:rsid w:val="00244161"/>
    <w:rsid w:val="002651CC"/>
    <w:rsid w:val="002741E1"/>
    <w:rsid w:val="002B408A"/>
    <w:rsid w:val="00301501"/>
    <w:rsid w:val="00316F96"/>
    <w:rsid w:val="00327AD2"/>
    <w:rsid w:val="003640B5"/>
    <w:rsid w:val="003678F0"/>
    <w:rsid w:val="003B100A"/>
    <w:rsid w:val="003B7D04"/>
    <w:rsid w:val="003F2463"/>
    <w:rsid w:val="0041672B"/>
    <w:rsid w:val="00426682"/>
    <w:rsid w:val="00461E9F"/>
    <w:rsid w:val="00487C52"/>
    <w:rsid w:val="004A4242"/>
    <w:rsid w:val="00517959"/>
    <w:rsid w:val="00523554"/>
    <w:rsid w:val="00585568"/>
    <w:rsid w:val="005B231E"/>
    <w:rsid w:val="005C04D1"/>
    <w:rsid w:val="00624F05"/>
    <w:rsid w:val="00701C7F"/>
    <w:rsid w:val="00741D81"/>
    <w:rsid w:val="00766031"/>
    <w:rsid w:val="00797015"/>
    <w:rsid w:val="007B7BF2"/>
    <w:rsid w:val="007E64FA"/>
    <w:rsid w:val="0081199B"/>
    <w:rsid w:val="0085670A"/>
    <w:rsid w:val="0086517F"/>
    <w:rsid w:val="0088773A"/>
    <w:rsid w:val="009032E7"/>
    <w:rsid w:val="0090332F"/>
    <w:rsid w:val="00921E2A"/>
    <w:rsid w:val="0099268A"/>
    <w:rsid w:val="009C16F9"/>
    <w:rsid w:val="009C6F09"/>
    <w:rsid w:val="00A33ADF"/>
    <w:rsid w:val="00A34574"/>
    <w:rsid w:val="00A44686"/>
    <w:rsid w:val="00A473C8"/>
    <w:rsid w:val="00A47F34"/>
    <w:rsid w:val="00BA71C6"/>
    <w:rsid w:val="00BB76FA"/>
    <w:rsid w:val="00C0727C"/>
    <w:rsid w:val="00C34555"/>
    <w:rsid w:val="00C459F4"/>
    <w:rsid w:val="00C5418F"/>
    <w:rsid w:val="00C8497A"/>
    <w:rsid w:val="00CD3AC7"/>
    <w:rsid w:val="00D32A12"/>
    <w:rsid w:val="00D772EC"/>
    <w:rsid w:val="00DA64C6"/>
    <w:rsid w:val="00DB4E47"/>
    <w:rsid w:val="00E044E2"/>
    <w:rsid w:val="00E05577"/>
    <w:rsid w:val="00E16D1A"/>
    <w:rsid w:val="00E31130"/>
    <w:rsid w:val="00EA6522"/>
    <w:rsid w:val="00EB7FC8"/>
    <w:rsid w:val="00F019F1"/>
    <w:rsid w:val="00F5510D"/>
    <w:rsid w:val="00F61C86"/>
    <w:rsid w:val="00FB7D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1859"/>
  <w15:chartTrackingRefBased/>
  <w15:docId w15:val="{2A4B8413-119E-48C2-ADE9-CC7354DCF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C6F09"/>
    <w:pPr>
      <w:keepNext/>
      <w:keepLines/>
      <w:spacing w:before="360" w:after="80"/>
      <w:jc w:val="both"/>
      <w:outlineLvl w:val="0"/>
    </w:pPr>
    <w:rPr>
      <w:rFonts w:asciiTheme="majorHAnsi" w:eastAsiaTheme="majorEastAsia" w:hAnsiTheme="majorHAnsi" w:cstheme="majorBidi"/>
      <w:b/>
      <w:caps/>
      <w:color w:val="A02B93" w:themeColor="accent5"/>
      <w:sz w:val="32"/>
      <w:szCs w:val="40"/>
    </w:rPr>
  </w:style>
  <w:style w:type="paragraph" w:styleId="Ttulo2">
    <w:name w:val="heading 2"/>
    <w:basedOn w:val="Normal"/>
    <w:next w:val="Normal"/>
    <w:link w:val="Ttulo2Car"/>
    <w:autoRedefine/>
    <w:uiPriority w:val="9"/>
    <w:unhideWhenUsed/>
    <w:qFormat/>
    <w:rsid w:val="00136926"/>
    <w:pPr>
      <w:keepNext/>
      <w:keepLines/>
      <w:numPr>
        <w:ilvl w:val="1"/>
        <w:numId w:val="17"/>
      </w:numPr>
      <w:spacing w:before="160" w:after="80"/>
      <w:outlineLvl w:val="1"/>
    </w:pPr>
    <w:rPr>
      <w:rFonts w:asciiTheme="majorHAnsi" w:eastAsiaTheme="majorEastAsia" w:hAnsiTheme="majorHAnsi" w:cstheme="majorBidi"/>
      <w:b/>
      <w:color w:val="0F4761" w:themeColor="accent1" w:themeShade="BF"/>
      <w:sz w:val="28"/>
      <w:szCs w:val="32"/>
    </w:rPr>
  </w:style>
  <w:style w:type="paragraph" w:styleId="Ttulo3">
    <w:name w:val="heading 3"/>
    <w:basedOn w:val="Normal"/>
    <w:next w:val="Normal"/>
    <w:link w:val="Ttulo3Car"/>
    <w:uiPriority w:val="9"/>
    <w:unhideWhenUsed/>
    <w:qFormat/>
    <w:rsid w:val="00E044E2"/>
    <w:pPr>
      <w:keepNext/>
      <w:keepLines/>
      <w:spacing w:before="160" w:after="80"/>
      <w:outlineLvl w:val="2"/>
    </w:pPr>
    <w:rPr>
      <w:rFonts w:eastAsiaTheme="majorEastAsia" w:cstheme="majorBidi"/>
      <w:color w:val="0F4761" w:themeColor="accent1" w:themeShade="BF"/>
      <w:sz w:val="24"/>
      <w:szCs w:val="28"/>
    </w:rPr>
  </w:style>
  <w:style w:type="paragraph" w:styleId="Ttulo4">
    <w:name w:val="heading 4"/>
    <w:basedOn w:val="Normal"/>
    <w:next w:val="Normal"/>
    <w:link w:val="Ttulo4Car"/>
    <w:uiPriority w:val="9"/>
    <w:unhideWhenUsed/>
    <w:qFormat/>
    <w:rsid w:val="00701C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1C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1C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1C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1C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1C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6F09"/>
    <w:rPr>
      <w:rFonts w:asciiTheme="majorHAnsi" w:eastAsiaTheme="majorEastAsia" w:hAnsiTheme="majorHAnsi" w:cstheme="majorBidi"/>
      <w:b/>
      <w:caps/>
      <w:color w:val="A02B93" w:themeColor="accent5"/>
      <w:sz w:val="32"/>
      <w:szCs w:val="40"/>
    </w:rPr>
  </w:style>
  <w:style w:type="character" w:customStyle="1" w:styleId="Ttulo2Car">
    <w:name w:val="Título 2 Car"/>
    <w:basedOn w:val="Fuentedeprrafopredeter"/>
    <w:link w:val="Ttulo2"/>
    <w:uiPriority w:val="9"/>
    <w:rsid w:val="00136926"/>
    <w:rPr>
      <w:rFonts w:asciiTheme="majorHAnsi" w:eastAsiaTheme="majorEastAsia" w:hAnsiTheme="majorHAnsi" w:cstheme="majorBidi"/>
      <w:b/>
      <w:color w:val="0F4761" w:themeColor="accent1" w:themeShade="BF"/>
      <w:sz w:val="28"/>
      <w:szCs w:val="32"/>
    </w:rPr>
  </w:style>
  <w:style w:type="character" w:customStyle="1" w:styleId="Ttulo3Car">
    <w:name w:val="Título 3 Car"/>
    <w:basedOn w:val="Fuentedeprrafopredeter"/>
    <w:link w:val="Ttulo3"/>
    <w:uiPriority w:val="9"/>
    <w:rsid w:val="00E044E2"/>
    <w:rPr>
      <w:rFonts w:eastAsiaTheme="majorEastAsia" w:cstheme="majorBidi"/>
      <w:color w:val="0F4761" w:themeColor="accent1" w:themeShade="BF"/>
      <w:sz w:val="24"/>
      <w:szCs w:val="28"/>
    </w:rPr>
  </w:style>
  <w:style w:type="character" w:customStyle="1" w:styleId="Ttulo4Car">
    <w:name w:val="Título 4 Car"/>
    <w:basedOn w:val="Fuentedeprrafopredeter"/>
    <w:link w:val="Ttulo4"/>
    <w:uiPriority w:val="9"/>
    <w:rsid w:val="00701C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1C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1C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1C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1C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1C7F"/>
    <w:rPr>
      <w:rFonts w:eastAsiaTheme="majorEastAsia" w:cstheme="majorBidi"/>
      <w:color w:val="272727" w:themeColor="text1" w:themeTint="D8"/>
    </w:rPr>
  </w:style>
  <w:style w:type="paragraph" w:styleId="Ttulo">
    <w:name w:val="Title"/>
    <w:basedOn w:val="Normal"/>
    <w:next w:val="Normal"/>
    <w:link w:val="TtuloCar"/>
    <w:uiPriority w:val="10"/>
    <w:qFormat/>
    <w:rsid w:val="0070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1C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1C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1C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1C7F"/>
    <w:pPr>
      <w:spacing w:before="160"/>
      <w:jc w:val="center"/>
    </w:pPr>
    <w:rPr>
      <w:i/>
      <w:iCs/>
      <w:color w:val="404040" w:themeColor="text1" w:themeTint="BF"/>
    </w:rPr>
  </w:style>
  <w:style w:type="character" w:customStyle="1" w:styleId="CitaCar">
    <w:name w:val="Cita Car"/>
    <w:basedOn w:val="Fuentedeprrafopredeter"/>
    <w:link w:val="Cita"/>
    <w:uiPriority w:val="29"/>
    <w:rsid w:val="00701C7F"/>
    <w:rPr>
      <w:i/>
      <w:iCs/>
      <w:color w:val="404040" w:themeColor="text1" w:themeTint="BF"/>
    </w:rPr>
  </w:style>
  <w:style w:type="paragraph" w:styleId="Prrafodelista">
    <w:name w:val="List Paragraph"/>
    <w:basedOn w:val="Normal"/>
    <w:uiPriority w:val="34"/>
    <w:qFormat/>
    <w:rsid w:val="00701C7F"/>
    <w:pPr>
      <w:ind w:left="720"/>
      <w:contextualSpacing/>
    </w:pPr>
  </w:style>
  <w:style w:type="character" w:styleId="nfasisintenso">
    <w:name w:val="Intense Emphasis"/>
    <w:basedOn w:val="Fuentedeprrafopredeter"/>
    <w:uiPriority w:val="21"/>
    <w:qFormat/>
    <w:rsid w:val="00701C7F"/>
    <w:rPr>
      <w:i/>
      <w:iCs/>
      <w:color w:val="0F4761" w:themeColor="accent1" w:themeShade="BF"/>
    </w:rPr>
  </w:style>
  <w:style w:type="paragraph" w:styleId="Citadestacada">
    <w:name w:val="Intense Quote"/>
    <w:basedOn w:val="Normal"/>
    <w:next w:val="Normal"/>
    <w:link w:val="CitadestacadaCar"/>
    <w:uiPriority w:val="30"/>
    <w:qFormat/>
    <w:rsid w:val="00701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1C7F"/>
    <w:rPr>
      <w:i/>
      <w:iCs/>
      <w:color w:val="0F4761" w:themeColor="accent1" w:themeShade="BF"/>
    </w:rPr>
  </w:style>
  <w:style w:type="character" w:styleId="Referenciaintensa">
    <w:name w:val="Intense Reference"/>
    <w:basedOn w:val="Fuentedeprrafopredeter"/>
    <w:uiPriority w:val="32"/>
    <w:qFormat/>
    <w:rsid w:val="00701C7F"/>
    <w:rPr>
      <w:b/>
      <w:bCs/>
      <w:smallCaps/>
      <w:color w:val="0F4761" w:themeColor="accent1" w:themeShade="BF"/>
      <w:spacing w:val="5"/>
    </w:rPr>
  </w:style>
  <w:style w:type="paragraph" w:styleId="Encabezado">
    <w:name w:val="header"/>
    <w:basedOn w:val="Normal"/>
    <w:link w:val="EncabezadoCar"/>
    <w:uiPriority w:val="99"/>
    <w:unhideWhenUsed/>
    <w:rsid w:val="00E311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31130"/>
  </w:style>
  <w:style w:type="paragraph" w:styleId="Piedepgina">
    <w:name w:val="footer"/>
    <w:basedOn w:val="Normal"/>
    <w:link w:val="PiedepginaCar"/>
    <w:uiPriority w:val="99"/>
    <w:unhideWhenUsed/>
    <w:rsid w:val="00E311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1130"/>
  </w:style>
  <w:style w:type="paragraph" w:customStyle="1" w:styleId="Default">
    <w:name w:val="Default"/>
    <w:rsid w:val="00E16D1A"/>
    <w:pPr>
      <w:autoSpaceDE w:val="0"/>
      <w:autoSpaceDN w:val="0"/>
      <w:adjustRightInd w:val="0"/>
      <w:spacing w:after="0" w:line="240" w:lineRule="auto"/>
    </w:pPr>
    <w:rPr>
      <w:rFonts w:ascii="Aptos" w:hAnsi="Aptos" w:cs="Aptos"/>
      <w:color w:val="000000"/>
      <w:kern w:val="0"/>
      <w:sz w:val="24"/>
      <w:szCs w:val="24"/>
    </w:rPr>
  </w:style>
  <w:style w:type="character" w:styleId="Hipervnculo">
    <w:name w:val="Hyperlink"/>
    <w:basedOn w:val="Fuentedeprrafopredeter"/>
    <w:uiPriority w:val="99"/>
    <w:unhideWhenUsed/>
    <w:rsid w:val="00624F05"/>
    <w:rPr>
      <w:color w:val="467886" w:themeColor="hyperlink"/>
      <w:u w:val="single"/>
    </w:rPr>
  </w:style>
  <w:style w:type="character" w:styleId="Mencinsinresolver">
    <w:name w:val="Unresolved Mention"/>
    <w:basedOn w:val="Fuentedeprrafopredeter"/>
    <w:uiPriority w:val="99"/>
    <w:semiHidden/>
    <w:unhideWhenUsed/>
    <w:rsid w:val="00624F05"/>
    <w:rPr>
      <w:color w:val="605E5C"/>
      <w:shd w:val="clear" w:color="auto" w:fill="E1DFDD"/>
    </w:rPr>
  </w:style>
  <w:style w:type="character" w:styleId="Hipervnculovisitado">
    <w:name w:val="FollowedHyperlink"/>
    <w:basedOn w:val="Fuentedeprrafopredeter"/>
    <w:uiPriority w:val="99"/>
    <w:semiHidden/>
    <w:unhideWhenUsed/>
    <w:rsid w:val="00741D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bioinformatics/btr330" TargetMode="External"/><Relationship Id="rId13" Type="http://schemas.openxmlformats.org/officeDocument/2006/relationships/hyperlink" Target="https://doi.org/10.1093/genetics/54.2.595" TargetMode="External"/><Relationship Id="rId18" Type="http://schemas.openxmlformats.org/officeDocument/2006/relationships/hyperlink" Target="https://doi.org/10.1093/nar/gky379" TargetMode="External"/><Relationship Id="rId26" Type="http://schemas.openxmlformats.org/officeDocument/2006/relationships/hyperlink" Target="https://doi.org/10.1186/2047-217X-2-15" TargetMode="External"/><Relationship Id="rId3" Type="http://schemas.openxmlformats.org/officeDocument/2006/relationships/settings" Target="settings.xml"/><Relationship Id="rId21" Type="http://schemas.openxmlformats.org/officeDocument/2006/relationships/hyperlink" Target="https://doi.org/10.1093/bioinformatics/btn129" TargetMode="External"/><Relationship Id="rId7" Type="http://schemas.openxmlformats.org/officeDocument/2006/relationships/hyperlink" Target="https://doi.org/10.1111/mec.12686" TargetMode="External"/><Relationship Id="rId12" Type="http://schemas.openxmlformats.org/officeDocument/2006/relationships/hyperlink" Target="https://doi.org/10.1186/1471-2156-11-94" TargetMode="External"/><Relationship Id="rId17" Type="http://schemas.openxmlformats.org/officeDocument/2006/relationships/hyperlink" Target="https://doi.org/10.1093/nar/23.21.4407" TargetMode="External"/><Relationship Id="rId25" Type="http://schemas.openxmlformats.org/officeDocument/2006/relationships/hyperlink" Target="https://doi.org/10.2144/btn-2021-0060" TargetMode="External"/><Relationship Id="rId2" Type="http://schemas.openxmlformats.org/officeDocument/2006/relationships/styles" Target="styles.xml"/><Relationship Id="rId16" Type="http://schemas.openxmlformats.org/officeDocument/2006/relationships/hyperlink" Target="https://doi.org/10.1101/gr.107524.110" TargetMode="External"/><Relationship Id="rId20" Type="http://schemas.openxmlformats.org/officeDocument/2006/relationships/hyperlink" Target="https://doi.org/10.1186/s12859-024-05860-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0169-5347(96)10049-5" TargetMode="External"/><Relationship Id="rId24" Type="http://schemas.openxmlformats.org/officeDocument/2006/relationships/hyperlink" Target="https://doi.org/10.3389/feduc.2023.1317191" TargetMode="External"/><Relationship Id="rId5" Type="http://schemas.openxmlformats.org/officeDocument/2006/relationships/footnotes" Target="footnotes.xml"/><Relationship Id="rId15" Type="http://schemas.openxmlformats.org/officeDocument/2006/relationships/hyperlink" Target="https://doi.org/10.1093/bioinformatics/btp352" TargetMode="External"/><Relationship Id="rId23" Type="http://schemas.openxmlformats.org/officeDocument/2006/relationships/hyperlink" Target="https://doi.org/10.1086/519795" TargetMode="External"/><Relationship Id="rId28" Type="http://schemas.openxmlformats.org/officeDocument/2006/relationships/footer" Target="footer1.xml"/><Relationship Id="rId10" Type="http://schemas.openxmlformats.org/officeDocument/2006/relationships/hyperlink" Target="https://doi.org/10.1007/13836_2017_5" TargetMode="External"/><Relationship Id="rId19" Type="http://schemas.openxmlformats.org/officeDocument/2006/relationships/hyperlink" Target="https://doi.org/10.1093/bioinformatics/btm308" TargetMode="External"/><Relationship Id="rId4" Type="http://schemas.openxmlformats.org/officeDocument/2006/relationships/webSettings" Target="webSettings.xml"/><Relationship Id="rId9" Type="http://schemas.openxmlformats.org/officeDocument/2006/relationships/hyperlink" Target="https://doi.org/10.1038/nrg.2016.49" TargetMode="External"/><Relationship Id="rId14" Type="http://schemas.openxmlformats.org/officeDocument/2006/relationships/hyperlink" Target="https://doi.org/10.1093/bioinformatics/btp324" TargetMode="External"/><Relationship Id="rId22" Type="http://schemas.openxmlformats.org/officeDocument/2006/relationships/hyperlink" Target="https://doi.org/10.5281/zenodo.597309" TargetMode="External"/><Relationship Id="rId27" Type="http://schemas.openxmlformats.org/officeDocument/2006/relationships/hyperlink" Target="https://doi.org/10.3163/1536-5050.95.4.454"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6372</TotalTime>
  <Pages>17</Pages>
  <Words>3838</Words>
  <Characters>21112</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Morell Nicolau</dc:creator>
  <cp:keywords/>
  <dc:description/>
  <cp:lastModifiedBy>Carla Morell Nicolau</cp:lastModifiedBy>
  <cp:revision>9</cp:revision>
  <dcterms:created xsi:type="dcterms:W3CDTF">2026-06-04T10:18:00Z</dcterms:created>
  <dcterms:modified xsi:type="dcterms:W3CDTF">2026-06-30T08:07:00Z</dcterms:modified>
</cp:coreProperties>
</file>