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WordCube Inc.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8D4E6"/>
                <w:sz w:val="22"/>
                <w:szCs w:val="22"/>
              </w:rPr>
              <w:t xml:space="preserve">LinkedIn Content Strategy  |  PR and Tech Sectors  |  June 2026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Prepared by Carlos Munoz  |  Marketing Advisor  |  East Bay SBDC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The goal of this strategy is not to post for the sake of posting. It is to build enough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visibility and credibility with PR directors and Silicon Valley tech leaders that when they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need a translation partner, WordCube is already a familiar and trusted name.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LinkedIn is where your buyers spend their professional attention. This strategy gives you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 practical framework for showing up consistently without consuming large amounts of time.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 — WHO YOU ARE TRYING TO REACH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 and Media 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Silicon Valley Tech Sector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Decision makers to connect with:
Directors of Communications
PR Agency Account Directors
VP of Corporate Communications
Content and Media Managers at multinational brands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Decision makers to connect with:
Directors of Product Localization
VP of International Growth
Head of Global Marketing
Operations Directors at Series B and above tech companies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they care about:
Speed and accuracy on time-sensitive press releases. Consistent terminology across languages. A partner who understands media deadlines and does not miss them.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What they care about:
Launching in new markets without breaking the product experience. Legal and compliance accuracy. A vendor who understands software UI and does not translate literally.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Pain point to address:
AI translation tools have made them nervous about quality. They have been burned by mistranslations in public-facing content and are looking for accountability.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Pain point to address:
Localization is an afterthought until it is not. By the time they need a partner urgently, they have no established relationship. You want to be in their awareness before that moment.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 — CONTENT PILLARS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2800"/>
        <w:gridCol w:w="1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Covers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Works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Often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AI vs Human Translation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Your perspective on where AI translation falls short for professional and mission-critical content. This is your strongest voice and the topic most relevant to your buyers right now.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Both PR and tech buyers are actively navigating this question. You have 20 plus years of lived experience on it. This is credibility no competitor can replicate.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1x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Global Communication Insight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Observations about multilingual communication challenges in global business. Language nuances that change meaning across cultures. Mistakes companies make when entering new markets.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Positions WordCube as a knowledgeable partner, not just a vendor. Buyers remember advisors more than suppliers.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Company Credibility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References to client industries (airlines, PR firms, tech) without breaching confidentiality. How the Work Queue platform works. The vetting process for your 7,000 specialists.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Builds trust passively. A prospect who has seen 10 posts before they reach out already believes in your capability.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month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Industry News Commentary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 brief reaction to a news story about global expansion, AI in media, multilingual product launches, or cross-border business. Share the article with 2 to 3 sentences of your perspective.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 effort, high relevance. Keeps you visible without requiring original content every time.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2x per month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 — POSTING CADENCE AND TIMING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Post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Time to 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Tuesday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AI vs Human Translation -- your strongest content pillar. Write from personal experience or a specific scenario.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8:00 to 9:00 AM Pacific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Thursday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Communication Insight, Company Credibility, or Industry News Commentary. Rotate weekly.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8:00 to 9:00 AM Pacific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4"/>
              <w:left w:val="single" w:color="1A6B72" w:sz="8"/>
              <w:bottom w:val="single" w:color="1A6B72" w:sz="4"/>
              <w:right w:val="none" w:color="FFFFFF" w:sz="0"/>
            </w:tcBorders>
            <w:shd w:fill="EBF5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Two posts per week is the right starting cadence for a one-person operation.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Consistency matters more than volume. Two posts every week for three months outperforms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ten posts in one week followed by silence.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Use Buffer to schedule both posts on Monday morning. It takes 20 to 30 minutes and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removes the daily pressure of remembering to post.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 — NETWORK BUILDING STRATEGY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to Do 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Per Week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Connect with PR and comms professionals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LinkedIn for Director of Communications, PR Account Director, or VP of Corporate Communications. Send a connection request with a one-line personal note referencing their industry.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to 8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Connect with tech localization and growth leads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for Head of Localization, Director of International Growth, or Global Marketing Manager at Series B and later stage tech companies in the Bay Area.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to 8 connections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Engage before you 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Before sending a connection request, comment on one of the person's recent posts. A genuine 2 to 3 sentence comment makes the connection request feel warm rather than cold.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to 5 comments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Reconnect with past clients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Search for former clients on LinkedIn and send a connection request if not already connected. Reference the work you did together in the note.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to 3 per week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 — HOW TO WRITE A LINKEDIN POST THAT GETS READ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to 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Opening 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The first line is everything. It has to make someone stop scrolling. Start with a bold statement, a counterintuitive fact, or a short question. Examples: We have been using AI for translation for years. Here is what we still will not let it touch. Or: A Fortune 500 company came to us after an AI translation error appeared in a press release sent to 40 countries.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Length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Short to medium. 3 to 6 short paragraphs. One to two sentences per paragraph. LinkedIn readers scan before they read. White space is your friend.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Close with a question or a clear point of view. This invites comments, which tells the LinkedIn algorithm the post is worth showing to more people.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Hashtags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3 to 5 relevant hashtags at the end. Examples for your content: hashtag translation, hashtag localization, hashtag globalization, hashtag AIinbusiness, hashtag multilingual.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What to avoid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 not post generic inspirational content. Do not share articles without adding your own opinion. Do not promote WordCube directly in every post. Your expertise is the marketing -- not the pitch.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4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 — FIRST 30 DAYS CHECKLIST</w:t>
            </w:r>
          </w:p>
        </w:tc>
      </w:tr>
    </w:tbl>
    <w:p>
      <w:pPr>
        <w:spacing w:after="25" w:before="25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4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Week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the LinkedIn company page about section. Post your first AI vs Human Translation piece on Tuesday. Connect with 10 PR or tech leads. Set up Buffer and schedule Week 2 posts.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Week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your first Global Communication Insight piece. Reconnect with 5 past clients on LinkedIn. Comment on 3 posts from people you want to connect with before sending requests.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Week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a Company Credibility piece referencing your client industries or the Work Queue platform without naming specific clients. Continue connecting with 8 to 10 new leads.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0D1B4B"/>
                <w:sz w:val="19"/>
                <w:szCs w:val="19"/>
              </w:rPr>
              <w:t xml:space="preserve">Week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Share an Industry News Commentary piece on a recent global business or AI story. Review LinkedIn analytics. Identify which post got the most engagement and note the topic and format for future posts.</w:t>
            </w:r>
          </w:p>
        </w:tc>
      </w:tr>
    </w:tbl>
    <w:p>
      <w:pPr>
        <w:spacing w:after="50" w:before="50"/>
      </w:pPr>
      <w:r>
        <w:rPr>
          <w:sz w:val="14"/>
          <w:szCs w:val="1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72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Carlos Munoz  |  Marketing Advisor  |  East Bay SBDC  |  carlos.munoz@norcalsbdc.org  |  669-350-7544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2026-06-16T00:10:06.762Z</dcterms:created>
  <dcterms:modified xsi:type="dcterms:W3CDTF">2026-06-16T00:10:06.763Z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