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D0EDE9"/>
                <w:sz w:val="18"/>
                <w:szCs w:val="18"/>
              </w:rPr>
              <w:t xml:space="preserve">LinkedIn Work Sample  |  Carlos M.  |  carlosamunoz.com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SEO Audit Methodology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0EDE9"/>
                <w:sz w:val="22"/>
                <w:szCs w:val="22"/>
              </w:rPr>
              <w:t xml:space="preserve">A Repeatable Framework for Small Business Websites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7B6A" w:sz="4"/>
              <w:left w:val="single" w:color="0A7B6A" w:sz="8"/>
              <w:bottom w:val="single" w:color="0A7B6A" w:sz="4"/>
              <w:right w:val="none" w:color="FFFFFF" w:sz="0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methodology has been applied across e-commerce, healthcare, professional services,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entertainment retail, and B2B language services clients. The framework is tool-agnostic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 scalable from a 5-page brochure site to a 100-page e-commerce catalog.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A7B6A"/>
          <w:sz w:val="26"/>
          <w:szCs w:val="26"/>
        </w:rPr>
        <w:t xml:space="preserve">Audit Framework: Four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40"/>
        <w:gridCol w:w="1800"/>
        <w:gridCol w:w="1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 Assess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Phase 1: Technical 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Page titles, meta descriptions, H1 tags, canonical tags, redirect chains, broken links, XML sitemap, robots.txt, HTTPS status, page speed, mobile friendliness.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Screaming Frog, Google Search Console, Google PageSpeed Insights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8"/>
                <w:szCs w:val="18"/>
              </w:rPr>
              <w:t xml:space="preserve">Technical issues list, prioritized by impact and fix difficulty.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Phase 2: Content and Messaging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H2 and H3 heading structure, keyword presence in titles and headings, content depth per page, duplicate content, image alt text, internal linking patterns.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Screaming Frog, manual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8"/>
                <w:szCs w:val="18"/>
              </w:rPr>
              <w:t xml:space="preserve">Content gap analysis and page-level messaging audit.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Phase 3: Structured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Presence and validity of JSON-LD schema. Schema types assessed vary by business: LocalBusiness, Product, Service, Review, FAQ, Article, Organization.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Rich Results Test, Schema Markup Validator, AdNabu Schema Checker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8"/>
                <w:szCs w:val="18"/>
              </w:rPr>
              <w:t xml:space="preserve">Schema gap report and AI search readiness score.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Phase 4: Competitive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the site compares to the top two or three organic competitors on title structure, content depth, domain authority, and review presence.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Screaming Frog, SEMrush, Google manual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8"/>
                <w:szCs w:val="18"/>
              </w:rPr>
              <w:t xml:space="preserve">Competitive gap summary and positioning opportunity brief.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A7B6A"/>
          <w:sz w:val="26"/>
          <w:szCs w:val="26"/>
        </w:rPr>
        <w:t xml:space="preserve">How I Prioritize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200"/>
        <w:gridCol w:w="37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Affects all or most pages. Directly prevents Google from reading, indexing, or ranking the site. Fix first regardless of effort.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Missing H1 tags site-wide, duplicate page titles, no meta descriptions, broken canonical tags.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Affects discoverability or click-through rate. Significant opportunity cost. Fix within the first sprint.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Missing XML sitemap, no structured data, images over 100kB slowing load time, missing Google Search Console connection.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Affects specific pages or search scenarios. Important but not blocking. Fix after Critical and High items are resolved.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Missing alt text on some images, H2 heading structure inconsistencies, meta descriptions slightly too long.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A7B6A"/>
          <w:sz w:val="26"/>
          <w:szCs w:val="26"/>
        </w:rPr>
        <w:t xml:space="preserve">Tools Used in This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800"/>
        <w:gridCol w:w="14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Screaming Frog SEO Spider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crawl engine. Extracts all on-page SEO data across every URL in a single pass. Core tool for phases 1 and 2.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up to 500 URLs. Paid license for larger sites.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Google 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Validates crawl findings against real Google data. Shows indexation status, keyword impressions, and crawl errors that Screaming Frog cannot surface.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Google Rich Results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Official Google tool for structured data validation. Confirms which rich result types each page is eligible for.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AdNabu Schema Checker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Extends structured data validation to include AI search readiness scoring. Surfaces schema gaps that Google's tool does not flag.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SEMrush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Competitive analysis and keyword gap identification. Used in phase 4 to benchmark the client against top organic competitors.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Google PageSpeed Insights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Core Web Vitals and mobile performance data. Used to flag load time issues that affect both user experience and search ranking.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7B6A" w:sz="4"/>
              <w:left w:val="single" w:color="0A7B6A" w:sz="8"/>
              <w:bottom w:val="single" w:color="0A7B6A" w:sz="4"/>
              <w:right w:val="none" w:color="FFFFFF" w:sz="0"/>
            </w:tcBorders>
            <w:shd w:fill="E8F5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framework has been applied across six industries: B2B professional services, healthcare,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e-commerce, specialty retail, early childhood education, and music production. The phases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remain consistent. The priority weighting shifts based on the business model. An e-commerce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store weights product schema and page speed above everything. A local service provider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weights GBP consistency and LocalBusiness schema first.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7B6A" w:sz="2" w:space="1"/>
      </w:pBdr>
      <w:spacing w:after="0" w:before="10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Carlos M.  |  Marketing Analytics Specialist  |  carlosamunoz.com  |  SEO Audit Methodology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7B6A" w:sz="2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0A7B6A"/>
        <w:sz w:val="16"/>
        <w:szCs w:val="16"/>
      </w:rPr>
      <w:t xml:space="preserve">SEO Audit Methodology  |  Carlos M.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0A7B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0A7B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A7B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2026-08-03T19:06:29.286Z</dcterms:created>
  <dcterms:modified xsi:type="dcterms:W3CDTF">2026-08-03T19:06:29.286Z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