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Soma: A Signal Field Native Architecture for Efficient Long-Sequence Processing</w:t>
      </w:r>
    </w:p>
    <w:p>
      <w:pPr>
        <w:pStyle w:val="Author"/>
      </w:pPr>
      <w:r>
        <w:t xml:space="preserve">Dalin Jia</w:t>
      </w:r>
      <w:r>
        <w:br/>
      </w:r>
      <w:r>
        <w:t xml:space="preserve">Independent Researcher</w:t>
      </w:r>
      <w:r>
        <w:br/>
      </w:r>
      <w:r>
        <w:rPr>
          <w:rStyle w:val="VerbatimChar"/>
        </w:rPr>
        <w:t xml:space="preserve">362118251@qq.com</w:t>
      </w:r>
    </w:p>
    <w:p>
      <w:pPr>
        <w:pStyle w:val="Date"/>
      </w:pPr>
      <w:r>
        <w:t xml:space="preserve">June 2026</w:t>
      </w:r>
      <w:r>
        <w:br/>
      </w:r>
      <w:r>
        <w:rPr>
          <w:b/>
          <w:bCs/>
        </w:rPr>
        <w:t xml:space="preserve">Preprint</w:t>
      </w:r>
      <w:r>
        <w:t xml:space="preserve"> </w:t>
      </w:r>
      <w:r>
        <w:t xml:space="preserve">— Preliminary results, simulation-based experiments included</w:t>
      </w:r>
    </w:p>
    <w:p>
      <w:pPr>
        <w:pStyle w:val="AbstractTitle"/>
      </w:pPr>
      <w:r>
        <w:t xml:space="preserve">Abstract</w:t>
      </w:r>
    </w:p>
    <w:p>
      <w:pPr>
        <w:pStyle w:val="Abstract"/>
      </w:pPr>
      <w:r>
        <w:t xml:space="preserve">Transformer-based large language models suffer from inherent</w:t>
      </w:r>
      <w:r>
        <w:t xml:space="preserve"> </w:t>
      </w:r>
      <m:oMath>
        <m:r>
          <m:t>O</m:t>
        </m:r>
        <m:r>
          <m:rPr>
            <m:sty m:val="p"/>
          </m:rPr>
          <m:t>(</m:t>
        </m:r>
        <m:sSup>
          <m:e>
            <m:r>
              <m:t>n</m:t>
            </m:r>
          </m:e>
          <m:sup>
            <m:r>
              <m:t>2</m:t>
            </m:r>
          </m:sup>
        </m:sSup>
        <m:r>
          <m:rPr>
            <m:sty m:val="p"/>
          </m:rPr>
          <m:t>)</m:t>
        </m:r>
      </m:oMath>
      <w:r>
        <w:t xml:space="preserve"> </w:t>
      </w:r>
      <w:r>
        <w:t xml:space="preserve">computational complexity and</w:t>
      </w:r>
      <w:r>
        <w:t xml:space="preserve"> </w:t>
      </w:r>
      <m:oMath>
        <m:r>
          <m:t>O</m:t>
        </m:r>
        <m:r>
          <m:rPr>
            <m:sty m:val="p"/>
          </m:rPr>
          <m:t>(</m:t>
        </m:r>
        <m:r>
          <m:t>n</m:t>
        </m:r>
        <m:r>
          <m:rPr>
            <m:sty m:val="p"/>
          </m:rPr>
          <m:t>)</m:t>
        </m:r>
      </m:oMath>
      <w:r>
        <w:t xml:space="preserve"> </w:t>
      </w:r>
      <w:r>
        <w:t xml:space="preserve">KV cache memory growth during autoregressive decoding, creating fundamental bottlenecks for long-context deployment. We propose</w:t>
      </w:r>
      <w:r>
        <w:t xml:space="preserve"> </w:t>
      </w:r>
      <w:r>
        <w:rPr>
          <w:b/>
          <w:bCs/>
        </w:rPr>
        <w:t xml:space="preserve">Soma</w:t>
      </w:r>
      <w:r>
        <w:t xml:space="preserve">, a signal field native architecture that replaces standard self-attention with a dual-channel mechanism combining near-field precise computation (Ring Buffer) and far-field compressed aggregation (Exponential Moving Average state). Our approach achieves</w:t>
      </w:r>
      <w:r>
        <w:t xml:space="preserve"> </w:t>
      </w:r>
      <m:oMath>
        <m:r>
          <m:t>O</m:t>
        </m:r>
        <m:r>
          <m:rPr>
            <m:sty m:val="p"/>
          </m:rPr>
          <m:t>(</m:t>
        </m:r>
        <m:r>
          <m:t>k</m:t>
        </m:r>
        <m:r>
          <m:rPr>
            <m:sty m:val="p"/>
          </m:rPr>
          <m:t>⋅</m:t>
        </m:r>
        <m:r>
          <m:t>n</m:t>
        </m:r>
        <m:r>
          <m:rPr>
            <m:sty m:val="p"/>
          </m:rPr>
          <m:t>)</m:t>
        </m:r>
      </m:oMath>
      <w:r>
        <w:t xml:space="preserve"> </w:t>
      </w:r>
      <w:r>
        <w:t xml:space="preserve">computational complexity and</w:t>
      </w:r>
      <w:r>
        <w:t xml:space="preserve"> </w:t>
      </w:r>
      <m:oMath>
        <m:r>
          <m:t>O</m:t>
        </m:r>
        <m:r>
          <m:rPr>
            <m:sty m:val="p"/>
          </m:rPr>
          <m:t>(</m:t>
        </m:r>
        <m:r>
          <m:t>k</m:t>
        </m:r>
        <m:r>
          <m:rPr>
            <m:sty m:val="p"/>
          </m:rPr>
          <m:t>)</m:t>
        </m:r>
      </m:oMath>
      <w:r>
        <w:t xml:space="preserve"> </w:t>
      </w:r>
      <w:r>
        <w:t xml:space="preserve">memory complexity where</w:t>
      </w:r>
      <w:r>
        <w:t xml:space="preserve"> </w:t>
      </w:r>
      <m:oMath>
        <m:r>
          <m:t>k</m:t>
        </m:r>
      </m:oMath>
      <w:r>
        <w:t xml:space="preserve"> </w:t>
      </w:r>
      <w:r>
        <w:t xml:space="preserve">is a fixed window size, decoupling both from sequence length</w:t>
      </w:r>
      <w:r>
        <w:t xml:space="preserve"> </w:t>
      </w:r>
      <m:oMath>
        <m:r>
          <m:t>n</m:t>
        </m:r>
      </m:oMath>
      <w:r>
        <w:t xml:space="preserve">.</w:t>
      </w:r>
    </w:p>
    <w:p>
      <w:pPr>
        <w:pStyle w:val="Abstract"/>
      </w:pPr>
      <w:r>
        <w:t xml:space="preserve">On Qwen2.5-7B-Instruct (4-bit), Soma achieves</w:t>
      </w:r>
      <w:r>
        <w:t xml:space="preserve"> </w:t>
      </w:r>
      <w:r>
        <w:rPr>
          <w:b/>
          <w:bCs/>
        </w:rPr>
        <w:t xml:space="preserve">284</w:t>
      </w:r>
      <m:oMath>
        <m:r>
          <m:rPr>
            <m:sty m:val="p"/>
          </m:rPr>
          <m:t>×</m:t>
        </m:r>
      </m:oMath>
      <w:r>
        <w:rPr>
          <w:b/>
          <w:bCs/>
        </w:rPr>
        <w:t xml:space="preserve">–567</w:t>
      </w:r>
      <m:oMath>
        <m:r>
          <m:rPr>
            <m:sty m:val="p"/>
          </m:rPr>
          <m:t>×</m:t>
        </m:r>
      </m:oMath>
      <w:r>
        <w:rPr>
          <w:b/>
          <w:bCs/>
        </w:rPr>
        <w:t xml:space="preserve"> </w:t>
      </w:r>
      <w:r>
        <w:rPr>
          <w:b/>
          <w:bCs/>
        </w:rPr>
        <w:t xml:space="preserve">KV cache compression</w:t>
      </w:r>
      <w:r>
        <w:t xml:space="preserve"> </w:t>
      </w:r>
      <w:r>
        <w:t xml:space="preserve">at 64K sequence (462 KB vs 128–256 MB depending on precision), with Cosine Similarity</w:t>
      </w:r>
      <w:r>
        <w:t xml:space="preserve"> </w:t>
      </w:r>
      <m:oMath>
        <m:r>
          <m:rPr>
            <m:sty m:val="p"/>
          </m:rPr>
          <m:t>&gt;</m:t>
        </m:r>
        <m:r>
          <m:t>0.9999999</m:t>
        </m:r>
      </m:oMath>
      <w:r>
        <w:t xml:space="preserve"> </w:t>
      </w:r>
      <w:r>
        <w:t xml:space="preserve">to standard causal attention for</w:t>
      </w:r>
      <w:r>
        <w:t xml:space="preserve"> </w:t>
      </w:r>
      <m:oMath>
        <m:r>
          <m:t>t</m:t>
        </m:r>
        <m:r>
          <m:rPr>
            <m:sty m:val="p"/>
          </m:rPr>
          <m:t>≥</m:t>
        </m:r>
        <m:r>
          <m:t>1</m:t>
        </m:r>
      </m:oMath>
      <w:r>
        <w:t xml:space="preserve"> </w:t>
      </w:r>
      <w:r>
        <w:t xml:space="preserve">(verified across 7 sequence lengths). The framework adds only</w:t>
      </w:r>
      <w:r>
        <w:t xml:space="preserve"> </w:t>
      </w:r>
      <m:oMath>
        <m:r>
          <m:rPr>
            <m:sty m:val="p"/>
          </m:rPr>
          <m:t>∼</m:t>
        </m:r>
      </m:oMath>
      <w:r>
        <w:t xml:space="preserve">8.1–32.8 KB of trainable parameters. Single-token decoding latency is</w:t>
      </w:r>
      <w:r>
        <w:t xml:space="preserve"> </w:t>
      </w:r>
      <m:oMath>
        <m:r>
          <m:t>O</m:t>
        </m:r>
        <m:r>
          <m:rPr>
            <m:sty m:val="p"/>
          </m:rPr>
          <m:t>(</m:t>
        </m:r>
        <m:r>
          <m:t>1</m:t>
        </m:r>
        <m:r>
          <m:rPr>
            <m:sty m:val="p"/>
          </m:rPr>
          <m:t>)</m:t>
        </m:r>
      </m:oMath>
      <w:r>
        <w:t xml:space="preserve"> </w:t>
      </w:r>
      <w:r>
        <w:t xml:space="preserve">constant (</w:t>
      </w:r>
      <m:oMath>
        <m:r>
          <m:rPr>
            <m:sty m:val="p"/>
          </m:rPr>
          <m:t>∼</m:t>
        </m:r>
      </m:oMath>
      <w:r>
        <w:t xml:space="preserve">0.52 ms/step, coefficient of variation 0.63%) in our MLX prototype.</w:t>
      </w:r>
    </w:p>
    <w:p>
      <w:pPr>
        <w:pStyle w:val="Abstract"/>
      </w:pPr>
      <w:r>
        <w:t xml:space="preserve">We further propose three extensions: (1)</w:t>
      </w:r>
      <w:r>
        <w:t xml:space="preserve"> </w:t>
      </w:r>
      <w:r>
        <w:rPr>
          <w:b/>
          <w:bCs/>
        </w:rPr>
        <w:t xml:space="preserve">Soma Heritage</w:t>
      </w:r>
      <w:r>
        <w:t xml:space="preserve">, a distillation framework using signal field attention in student models with progressive layer replacement; (2)</w:t>
      </w:r>
      <w:r>
        <w:t xml:space="preserve"> </w:t>
      </w:r>
      <w:r>
        <w:rPr>
          <w:b/>
          <w:bCs/>
        </w:rPr>
        <w:t xml:space="preserve">Soma Native</w:t>
      </w:r>
      <w:r>
        <w:t xml:space="preserve">, a full architecture replacing all Transformer components (attention, FFN, LayerNorm, RoPE) with signal field equivalents; (3)</w:t>
      </w:r>
      <w:r>
        <w:t xml:space="preserve"> </w:t>
      </w:r>
      <w:r>
        <w:rPr>
          <w:b/>
          <w:bCs/>
        </w:rPr>
        <w:t xml:space="preserve">Soma LingYa</w:t>
      </w:r>
      <w:r>
        <w:t xml:space="preserve">, a parameter-efficient fine-tuning method achieving 50% parameter reduction versus LoRA at equivalent rank.</w:t>
      </w:r>
    </w:p>
    <w:p>
      <w:pPr>
        <w:pStyle w:val="Abstract"/>
      </w:pPr>
      <w:r>
        <w:t xml:space="preserve">All experiments reported herein are from MLX Python prototype implementations. Simulated data is explicitly labeled. C++/Metal kernel deployment targets are noted separately from verified results.</w:t>
      </w:r>
    </w:p>
    <w:p>
      <w:pPr>
        <w:pStyle w:val="FirstParagraph"/>
      </w:pPr>
      <w:r>
        <w:rPr>
          <w:b/>
          <w:bCs/>
        </w:rPr>
        <w:t xml:space="preserve">Keywords</w:t>
      </w:r>
      <w:r>
        <w:t xml:space="preserve">: Long-context LLM, KV cache compression, signal field attention, parameter-efficient fine-tuning, knowledge distillation,</w:t>
      </w:r>
      <w:r>
        <w:t xml:space="preserve"> </w:t>
      </w:r>
      <m:oMath>
        <m:r>
          <m:t>O</m:t>
        </m:r>
        <m:r>
          <m:rPr>
            <m:sty m:val="p"/>
          </m:rPr>
          <m:t>(</m:t>
        </m:r>
        <m:r>
          <m:t>1</m:t>
        </m:r>
        <m:r>
          <m:rPr>
            <m:sty m:val="p"/>
          </m:rPr>
          <m:t>)</m:t>
        </m:r>
      </m:oMath>
      <w:r>
        <w:t xml:space="preserve"> </w:t>
      </w:r>
      <w:r>
        <w:t xml:space="preserve">memory</w:t>
      </w:r>
    </w:p>
    <w:bookmarkStart w:id="9" w:name="introduction"/>
    <w:p>
      <w:pPr>
        <w:pStyle w:val="Heading1"/>
      </w:pPr>
      <w:r>
        <w:t xml:space="preserve">Introduction</w:t>
      </w:r>
    </w:p>
    <w:p>
      <w:pPr>
        <w:pStyle w:val="FirstParagraph"/>
      </w:pPr>
      <w:r>
        <w:t xml:space="preserve">The Transformer architecture</w:t>
      </w:r>
      <w:r>
        <w:t xml:space="preserve"> </w:t>
      </w:r>
      <w:r>
        <w:t xml:space="preserve"> </w:t>
      </w:r>
      <w:r>
        <w:t xml:space="preserve">has dominated natural language processing since 2017. Its core innovation—self-attention—enables global token interaction but introduces two fundamental bottlenecks for long-sequence processing:</w:t>
      </w:r>
    </w:p>
    <w:p>
      <w:pPr>
        <w:pStyle w:val="BodyText"/>
      </w:pPr>
      <w:r>
        <w:rPr>
          <w:b/>
          <w:bCs/>
        </w:rPr>
        <w:t xml:space="preserve">Computational complexity:</w:t>
      </w:r>
      <w:r>
        <w:t xml:space="preserve"> </w:t>
      </w:r>
      <w:r>
        <w:t xml:space="preserve">Standard self-attention requires</w:t>
      </w:r>
      <w:r>
        <w:t xml:space="preserve"> </w:t>
      </w:r>
      <m:oMath>
        <m:r>
          <m:t>O</m:t>
        </m:r>
        <m:r>
          <m:rPr>
            <m:sty m:val="p"/>
          </m:rPr>
          <m:t>(</m:t>
        </m:r>
        <m:sSup>
          <m:e>
            <m:r>
              <m:t>n</m:t>
            </m:r>
          </m:e>
          <m:sup>
            <m:r>
              <m:t>2</m:t>
            </m:r>
          </m:sup>
        </m:sSup>
        <m:r>
          <m:rPr>
            <m:sty m:val="p"/>
          </m:rPr>
          <m:t>⋅</m:t>
        </m:r>
        <m:r>
          <m:t>d</m:t>
        </m:r>
        <m:r>
          <m:rPr>
            <m:sty m:val="p"/>
          </m:rPr>
          <m:t>)</m:t>
        </m:r>
      </m:oMath>
      <w:r>
        <w:t xml:space="preserve"> </w:t>
      </w:r>
      <w:r>
        <w:t xml:space="preserve">operations for sequence length</w:t>
      </w:r>
      <w:r>
        <w:t xml:space="preserve"> </w:t>
      </w:r>
      <m:oMath>
        <m:r>
          <m:t>n</m:t>
        </m:r>
      </m:oMath>
      <w:r>
        <w:t xml:space="preserve"> </w:t>
      </w:r>
      <w:r>
        <w:t xml:space="preserve">and model dimension</w:t>
      </w:r>
      <w:r>
        <w:t xml:space="preserve"> </w:t>
      </w:r>
      <m:oMath>
        <m:r>
          <m:t>d</m:t>
        </m:r>
      </m:oMath>
      <w:r>
        <w:t xml:space="preserve">. During autoregressive decoding, each new token must attend to all previous tokens, causing quadratic slowdown.</w:t>
      </w:r>
    </w:p>
    <w:p>
      <w:pPr>
        <w:pStyle w:val="BodyText"/>
      </w:pPr>
      <w:r>
        <w:rPr>
          <w:b/>
          <w:bCs/>
        </w:rPr>
        <w:t xml:space="preserve">Memory complexity:</w:t>
      </w:r>
      <w:r>
        <w:t xml:space="preserve"> </w:t>
      </w:r>
      <w:r>
        <w:t xml:space="preserve">The KV cache grows linearly as</w:t>
      </w:r>
      <w:r>
        <w:t xml:space="preserve"> </w:t>
      </w:r>
      <m:oMath>
        <m:r>
          <m:t>O</m:t>
        </m:r>
        <m:r>
          <m:rPr>
            <m:sty m:val="p"/>
          </m:rPr>
          <m:t>(</m:t>
        </m:r>
        <m:r>
          <m:t>n</m:t>
        </m:r>
        <m:r>
          <m:rPr>
            <m:sty m:val="p"/>
          </m:rPr>
          <m:t>⋅</m:t>
        </m:r>
        <m:r>
          <m:t>d</m:t>
        </m:r>
        <m:r>
          <m:rPr>
            <m:sty m:val="p"/>
          </m:rPr>
          <m:t>)</m:t>
        </m:r>
      </m:oMath>
      <w:r>
        <w:t xml:space="preserve">, reaching hundreds of megabytes for 7B models at 64K sequence. This limits practical context length and increases deployment costs.</w:t>
      </w:r>
    </w:p>
    <w:p>
      <w:pPr>
        <w:pStyle w:val="BodyText"/>
      </w:pPr>
      <w:r>
        <w:t xml:space="preserve">Existing solutions fall into several categories, each with trade-offs:</w:t>
      </w:r>
    </w:p>
    <w:p>
      <w:pPr>
        <w:numPr>
          <w:ilvl w:val="0"/>
          <w:numId w:val="1001"/>
        </w:numPr>
      </w:pPr>
      <w:r>
        <w:rPr>
          <w:b/>
          <w:bCs/>
        </w:rPr>
        <w:t xml:space="preserve">Sparse/sliding window attention</w:t>
      </w:r>
      <w:r>
        <w:t xml:space="preserve"> </w:t>
      </w:r>
      <w:r>
        <w:t xml:space="preserve">(StreamingLLM</w:t>
      </w:r>
      <w:r>
        <w:t xml:space="preserve"> </w:t>
      </w:r>
      <w:r>
        <w:t xml:space="preserve">, H2O</w:t>
      </w:r>
      <w:r>
        <w:t xml:space="preserve"> </w:t>
      </w:r>
      <w:r>
        <w:t xml:space="preserve">, SnapKV</w:t>
      </w:r>
      <w:r>
        <w:t xml:space="preserve"> </w:t>
      </w:r>
      <w:r>
        <w:t xml:space="preserve">): Discard distant tokens, losing long-range dependencies.</w:t>
      </w:r>
    </w:p>
    <w:p>
      <w:pPr>
        <w:numPr>
          <w:ilvl w:val="0"/>
          <w:numId w:val="1001"/>
        </w:numPr>
      </w:pPr>
      <w:r>
        <w:rPr>
          <w:b/>
          <w:bCs/>
        </w:rPr>
        <w:t xml:space="preserve">Linear attention</w:t>
      </w:r>
      <w:r>
        <w:t xml:space="preserve"> </w:t>
      </w:r>
      <w:r>
        <w:t xml:space="preserve">(LinFormer</w:t>
      </w:r>
      <w:r>
        <w:t xml:space="preserve"> </w:t>
      </w:r>
      <w:r>
        <w:t xml:space="preserve">, Performer</w:t>
      </w:r>
      <w:r>
        <w:t xml:space="preserve"> </w:t>
      </w:r>
      <w:r>
        <w:t xml:space="preserve">): Approximate softmax attention via low-rank projection or random feature maps, introducing approximation error.</w:t>
      </w:r>
    </w:p>
    <w:p>
      <w:pPr>
        <w:numPr>
          <w:ilvl w:val="0"/>
          <w:numId w:val="1001"/>
        </w:numPr>
      </w:pPr>
      <w:r>
        <w:rPr>
          <w:b/>
          <w:bCs/>
        </w:rPr>
        <w:t xml:space="preserve">State Space Models</w:t>
      </w:r>
      <w:r>
        <w:t xml:space="preserve"> </w:t>
      </w:r>
      <w:r>
        <w:t xml:space="preserve">(Mamba</w:t>
      </w:r>
      <w:r>
        <w:t xml:space="preserve"> </w:t>
      </w:r>
      <w:r>
        <w:t xml:space="preserve">, RWKV</w:t>
      </w:r>
      <w:r>
        <w:t xml:space="preserve"> </w:t>
      </w:r>
      <w:r>
        <w:t xml:space="preserve">): Achieve</w:t>
      </w:r>
      <w:r>
        <w:t xml:space="preserve"> </w:t>
      </w:r>
      <m:oMath>
        <m:r>
          <m:t>O</m:t>
        </m:r>
        <m:r>
          <m:rPr>
            <m:sty m:val="p"/>
          </m:rPr>
          <m:t>(</m:t>
        </m:r>
        <m:r>
          <m:t>n</m:t>
        </m:r>
        <m:r>
          <m:rPr>
            <m:sty m:val="p"/>
          </m:rPr>
          <m:t>)</m:t>
        </m:r>
      </m:oMath>
      <w:r>
        <w:t xml:space="preserve"> </w:t>
      </w:r>
      <w:r>
        <w:t xml:space="preserve">complexity but cannot inherit pre-trained Transformer weights and require full retraining.</w:t>
      </w:r>
    </w:p>
    <w:p>
      <w:pPr>
        <w:numPr>
          <w:ilvl w:val="0"/>
          <w:numId w:val="1001"/>
        </w:numPr>
      </w:pPr>
      <w:r>
        <w:rPr>
          <w:b/>
          <w:bCs/>
        </w:rPr>
        <w:t xml:space="preserve">KV cache compression</w:t>
      </w:r>
      <w:r>
        <w:t xml:space="preserve"> </w:t>
      </w:r>
      <w:r>
        <w:t xml:space="preserve">(quantization, pooling, low-rank): Reduce memory but introduce irreversible precision loss.</w:t>
      </w:r>
    </w:p>
    <w:p>
      <w:pPr>
        <w:numPr>
          <w:ilvl w:val="0"/>
          <w:numId w:val="1001"/>
        </w:numPr>
      </w:pPr>
      <w:r>
        <w:rPr>
          <w:b/>
          <w:bCs/>
        </w:rPr>
        <w:t xml:space="preserve">FlashAttention</w:t>
      </w:r>
      <w:r>
        <w:t xml:space="preserve"> </w:t>
      </w:r>
      <w:r>
        <w:t xml:space="preserve">: Optimizes I/O patterns but does not change asymptotic complexity.</w:t>
      </w:r>
    </w:p>
    <w:p>
      <w:pPr>
        <w:pStyle w:val="FirstParagraph"/>
      </w:pPr>
      <w:r>
        <w:t xml:space="preserve">We propose</w:t>
      </w:r>
      <w:r>
        <w:t xml:space="preserve"> </w:t>
      </w:r>
      <w:r>
        <w:rPr>
          <w:b/>
          <w:bCs/>
        </w:rPr>
        <w:t xml:space="preserve">Soma</w:t>
      </w:r>
      <w:r>
        <w:t xml:space="preserve">, a signal field native architecture that addresses the accuracy-efficiency trade-off without breaking Transformer compatibility. Our core insight: treat discrete token sequences as continuous temporal signals. Recent tokens are preserved precisely for detailed reasoning, while distant history is compressed into fixed-dimensional field states via exponential moving average (EMA) decay.</w:t>
      </w:r>
    </w:p>
    <w:p>
      <w:pPr>
        <w:pStyle w:val="BodyText"/>
      </w:pPr>
      <w:r>
        <w:rPr>
          <w:b/>
          <w:bCs/>
        </w:rPr>
        <w:t xml:space="preserve">Contributions:</w:t>
      </w:r>
    </w:p>
    <w:p>
      <w:pPr>
        <w:numPr>
          <w:ilvl w:val="0"/>
          <w:numId w:val="1002"/>
        </w:numPr>
      </w:pPr>
      <w:r>
        <w:t xml:space="preserve">We propose Signal Field Attention (SFA), a dual-channel mechanism achieving</w:t>
      </w:r>
      <w:r>
        <w:t xml:space="preserve"> </w:t>
      </w:r>
      <m:oMath>
        <m:r>
          <m:t>O</m:t>
        </m:r>
        <m:r>
          <m:rPr>
            <m:sty m:val="p"/>
          </m:rPr>
          <m:t>(</m:t>
        </m:r>
        <m:r>
          <m:t>k</m:t>
        </m:r>
        <m:r>
          <m:rPr>
            <m:sty m:val="p"/>
          </m:rPr>
          <m:t>⋅</m:t>
        </m:r>
        <m:r>
          <m:t>n</m:t>
        </m:r>
        <m:r>
          <m:rPr>
            <m:sty m:val="p"/>
          </m:rPr>
          <m:t>)</m:t>
        </m:r>
      </m:oMath>
      <w:r>
        <w:t xml:space="preserve"> </w:t>
      </w:r>
      <w:r>
        <w:t xml:space="preserve">computation and</w:t>
      </w:r>
      <w:r>
        <w:t xml:space="preserve"> </w:t>
      </w:r>
      <m:oMath>
        <m:r>
          <m:t>O</m:t>
        </m:r>
        <m:r>
          <m:rPr>
            <m:sty m:val="p"/>
          </m:rPr>
          <m:t>(</m:t>
        </m:r>
        <m:r>
          <m:t>k</m:t>
        </m:r>
        <m:r>
          <m:rPr>
            <m:sty m:val="p"/>
          </m:rPr>
          <m:t>)</m:t>
        </m:r>
      </m:oMath>
      <w:r>
        <w:t xml:space="preserve"> </w:t>
      </w:r>
      <w:r>
        <w:t xml:space="preserve">memory, verified correct against causal standard attention (Cosine Similarity</w:t>
      </w:r>
      <w:r>
        <w:t xml:space="preserve"> </w:t>
      </w:r>
      <m:oMath>
        <m:r>
          <m:rPr>
            <m:sty m:val="p"/>
          </m:rPr>
          <m:t>&gt;</m:t>
        </m:r>
        <m:r>
          <m:t>0.9999999</m:t>
        </m:r>
      </m:oMath>
      <w:r>
        <w:t xml:space="preserve"> </w:t>
      </w:r>
      <w:r>
        <w:t xml:space="preserve">for</w:t>
      </w:r>
      <w:r>
        <w:t xml:space="preserve"> </w:t>
      </w:r>
      <m:oMath>
        <m:r>
          <m:t>t</m:t>
        </m:r>
        <m:r>
          <m:rPr>
            <m:sty m:val="p"/>
          </m:rPr>
          <m:t>≥</m:t>
        </m:r>
        <m:r>
          <m:t>1</m:t>
        </m:r>
      </m:oMath>
      <w:r>
        <w:t xml:space="preserve">).</w:t>
      </w:r>
    </w:p>
    <w:p>
      <w:pPr>
        <w:numPr>
          <w:ilvl w:val="0"/>
          <w:numId w:val="1002"/>
        </w:numPr>
      </w:pPr>
      <w:r>
        <w:t xml:space="preserve">We demonstrate 284</w:t>
      </w:r>
      <m:oMath>
        <m:r>
          <m:rPr>
            <m:sty m:val="p"/>
          </m:rPr>
          <m:t>×</m:t>
        </m:r>
      </m:oMath>
      <w:r>
        <w:t xml:space="preserve">–567</w:t>
      </w:r>
      <m:oMath>
        <m:r>
          <m:rPr>
            <m:sty m:val="p"/>
          </m:rPr>
          <m:t>×</m:t>
        </m:r>
      </m:oMath>
      <w:r>
        <w:t xml:space="preserve"> </w:t>
      </w:r>
      <w:r>
        <w:t xml:space="preserve">KV cache compression at 7B/64K with only 8.1–32.8 KB parameter overhead.</w:t>
      </w:r>
    </w:p>
    <w:p>
      <w:pPr>
        <w:numPr>
          <w:ilvl w:val="0"/>
          <w:numId w:val="1002"/>
        </w:numPr>
      </w:pPr>
      <w:r>
        <w:t xml:space="preserve">We propose Soma Heritage, a distillation framework with progressive layer replacement and adaptive loss weighting.</w:t>
      </w:r>
    </w:p>
    <w:p>
      <w:pPr>
        <w:numPr>
          <w:ilvl w:val="0"/>
          <w:numId w:val="1002"/>
        </w:numPr>
      </w:pPr>
      <w:r>
        <w:t xml:space="preserve">We propose Soma Native, a full architecture replacing all Transformer components.</w:t>
      </w:r>
    </w:p>
    <w:p>
      <w:pPr>
        <w:numPr>
          <w:ilvl w:val="0"/>
          <w:numId w:val="1002"/>
        </w:numPr>
      </w:pPr>
      <w:r>
        <w:t xml:space="preserve">We propose Soma LingYa, a PEFT method with 50% parameter reduction versus LoRA.</w:t>
      </w:r>
    </w:p>
    <w:bookmarkEnd w:id="9"/>
    <w:bookmarkStart w:id="13" w:name="signal-field-attention"/>
    <w:p>
      <w:pPr>
        <w:pStyle w:val="Heading1"/>
      </w:pPr>
      <w:r>
        <w:t xml:space="preserve">Signal Field Attention</w:t>
      </w:r>
    </w:p>
    <w:bookmarkStart w:id="10" w:name="dual-channel-mechanism"/>
    <w:p>
      <w:pPr>
        <w:pStyle w:val="Heading2"/>
      </w:pPr>
      <w:r>
        <w:t xml:space="preserve">Dual-Channel Mechanism</w:t>
      </w:r>
    </w:p>
    <w:p>
      <w:pPr>
        <w:pStyle w:val="FirstParagraph"/>
      </w:pPr>
      <w:r>
        <w:t xml:space="preserve">Given query</w:t>
      </w:r>
      <w:r>
        <w:t xml:space="preserve"> </w:t>
      </w:r>
      <m:oMath>
        <m:sSub>
          <m:e>
            <m:r>
              <m:t>q</m:t>
            </m:r>
          </m:e>
          <m:sub>
            <m:r>
              <m:t>t</m:t>
            </m:r>
          </m:sub>
        </m:sSub>
      </m:oMath>
      <w:r>
        <w:t xml:space="preserve">, key sequence</w:t>
      </w:r>
      <w:r>
        <w:t xml:space="preserve"> </w:t>
      </w:r>
      <m:oMath>
        <m:r>
          <m:t>K</m:t>
        </m:r>
        <m:r>
          <m:rPr>
            <m:sty m:val="p"/>
          </m:rPr>
          <m:t>=</m:t>
        </m:r>
        <m:r>
          <m:rPr>
            <m:sty m:val="p"/>
          </m:rPr>
          <m:t>{</m:t>
        </m:r>
        <m:sSub>
          <m:e>
            <m:r>
              <m:t>k</m:t>
            </m:r>
          </m:e>
          <m:sub>
            <m:r>
              <m:t>1</m:t>
            </m:r>
          </m:sub>
        </m:sSub>
        <m:r>
          <m:rPr>
            <m:sty m:val="p"/>
          </m:rPr>
          <m:t>,</m:t>
        </m:r>
        <m:r>
          <m:rPr>
            <m:sty m:val="p"/>
          </m:rPr>
          <m:t>…</m:t>
        </m:r>
        <m:r>
          <m:rPr>
            <m:sty m:val="p"/>
          </m:rPr>
          <m:t>,</m:t>
        </m:r>
        <m:sSub>
          <m:e>
            <m:r>
              <m:t>k</m:t>
            </m:r>
          </m:e>
          <m:sub>
            <m:r>
              <m:t>n</m:t>
            </m:r>
          </m:sub>
        </m:sSub>
        <m:r>
          <m:rPr>
            <m:sty m:val="p"/>
          </m:rPr>
          <m:t>}</m:t>
        </m:r>
      </m:oMath>
      <w:r>
        <w:t xml:space="preserve">, value sequence</w:t>
      </w:r>
      <w:r>
        <w:t xml:space="preserve"> </w:t>
      </w:r>
      <m:oMath>
        <m:r>
          <m:t>V</m:t>
        </m:r>
        <m:r>
          <m:rPr>
            <m:sty m:val="p"/>
          </m:rPr>
          <m:t>=</m:t>
        </m:r>
        <m:r>
          <m:rPr>
            <m:sty m:val="p"/>
          </m:rPr>
          <m:t>{</m:t>
        </m:r>
        <m:sSub>
          <m:e>
            <m:r>
              <m:t>v</m:t>
            </m:r>
          </m:e>
          <m:sub>
            <m:r>
              <m:t>1</m:t>
            </m:r>
          </m:sub>
        </m:sSub>
        <m:r>
          <m:rPr>
            <m:sty m:val="p"/>
          </m:rPr>
          <m:t>,</m:t>
        </m:r>
        <m:r>
          <m:rPr>
            <m:sty m:val="p"/>
          </m:rPr>
          <m:t>…</m:t>
        </m:r>
        <m:r>
          <m:rPr>
            <m:sty m:val="p"/>
          </m:rPr>
          <m:t>,</m:t>
        </m:r>
        <m:sSub>
          <m:e>
            <m:r>
              <m:t>v</m:t>
            </m:r>
          </m:e>
          <m:sub>
            <m:r>
              <m:t>n</m:t>
            </m:r>
          </m:sub>
        </m:sSub>
        <m:r>
          <m:rPr>
            <m:sty m:val="p"/>
          </m:rPr>
          <m:t>}</m:t>
        </m:r>
      </m:oMath>
      <w:r>
        <w:t xml:space="preserve"> </w:t>
      </w:r>
      <w:r>
        <w:t xml:space="preserve">at decoding step</w:t>
      </w:r>
      <w:r>
        <w:t xml:space="preserve"> </w:t>
      </w:r>
      <m:oMath>
        <m:r>
          <m:t>t</m:t>
        </m:r>
      </m:oMath>
      <w:r>
        <w:t xml:space="preserve">, SFA computes:</w:t>
      </w:r>
    </w:p>
    <w:p>
      <w:pPr>
        <w:pStyle w:val="BodyText"/>
      </w:pPr>
      <m:oMathPara>
        <m:oMathParaPr>
          <m:jc m:val="center"/>
        </m:oMathParaPr>
        <m:oMath>
          <m:r>
            <m:rPr>
              <m:nor/>
              <m:sty m:val="p"/>
            </m:rPr>
            <m:t>Attention</m:t>
          </m:r>
          <m:r>
            <m:rPr>
              <m:sty m:val="p"/>
            </m:rPr>
            <m:t>(</m:t>
          </m:r>
          <m:sSub>
            <m:e>
              <m:r>
                <m:t>q</m:t>
              </m:r>
            </m:e>
            <m:sub>
              <m:r>
                <m:t>t</m:t>
              </m:r>
            </m:sub>
          </m:sSub>
          <m:r>
            <m:rPr>
              <m:sty m:val="p"/>
            </m:rPr>
            <m:t>,</m:t>
          </m:r>
          <m:r>
            <m:t>K</m:t>
          </m:r>
          <m:r>
            <m:rPr>
              <m:sty m:val="p"/>
            </m:rPr>
            <m:t>,</m:t>
          </m:r>
          <m:r>
            <m:t>V</m:t>
          </m:r>
          <m:r>
            <m:rPr>
              <m:sty m:val="p"/>
            </m:rPr>
            <m:t>)</m:t>
          </m:r>
          <m:r>
            <m:rPr>
              <m:sty m:val="p"/>
            </m:rPr>
            <m:t>=</m:t>
          </m:r>
          <m:sSub>
            <m:e>
              <m:r>
                <m:rPr>
                  <m:nor/>
                  <m:sty m:val="p"/>
                </m:rPr>
                <m:t>Attention</m:t>
              </m:r>
            </m:e>
            <m:sub>
              <m:r>
                <m:rPr>
                  <m:nor/>
                  <m:sty m:val="p"/>
                </m:rPr>
                <m:t>near</m:t>
              </m:r>
            </m:sub>
          </m:sSub>
          <m:r>
            <m:rPr>
              <m:sty m:val="p"/>
            </m:rPr>
            <m:t>(</m:t>
          </m:r>
          <m:sSub>
            <m:e>
              <m:r>
                <m:t>q</m:t>
              </m:r>
            </m:e>
            <m:sub>
              <m:r>
                <m:t>t</m:t>
              </m:r>
            </m:sub>
          </m:sSub>
          <m:r>
            <m:rPr>
              <m:sty m:val="p"/>
            </m:rPr>
            <m:t>,</m:t>
          </m:r>
          <m:sSub>
            <m:e>
              <m:r>
                <m:t>K</m:t>
              </m:r>
            </m:e>
            <m:sub>
              <m:r>
                <m:rPr>
                  <m:nor/>
                  <m:sty m:val="p"/>
                </m:rPr>
                <m:t>ring</m:t>
              </m:r>
            </m:sub>
          </m:sSub>
          <m:r>
            <m:rPr>
              <m:sty m:val="p"/>
            </m:rPr>
            <m:t>,</m:t>
          </m:r>
          <m:sSub>
            <m:e>
              <m:r>
                <m:t>V</m:t>
              </m:r>
            </m:e>
            <m:sub>
              <m:r>
                <m:rPr>
                  <m:nor/>
                  <m:sty m:val="p"/>
                </m:rPr>
                <m:t>ring</m:t>
              </m:r>
            </m:sub>
          </m:sSub>
          <m:r>
            <m:rPr>
              <m:sty m:val="p"/>
            </m:rPr>
            <m:t>)</m:t>
          </m:r>
          <m:r>
            <m:rPr>
              <m:sty m:val="p"/>
            </m:rPr>
            <m:t>+</m:t>
          </m:r>
          <m:r>
            <m:t>α</m:t>
          </m:r>
          <m:r>
            <m:rPr>
              <m:sty m:val="p"/>
            </m:rPr>
            <m:t>⋅</m:t>
          </m:r>
          <m:sSub>
            <m:e>
              <m:r>
                <m:rPr>
                  <m:nor/>
                  <m:sty m:val="p"/>
                </m:rPr>
                <m:t>Attention</m:t>
              </m:r>
            </m:e>
            <m:sub>
              <m:r>
                <m:rPr>
                  <m:nor/>
                  <m:sty m:val="p"/>
                </m:rPr>
                <m:t>far</m:t>
              </m:r>
            </m:sub>
          </m:sSub>
          <m:r>
            <m:rPr>
              <m:sty m:val="p"/>
            </m:rPr>
            <m:t>(</m:t>
          </m:r>
          <m:sSub>
            <m:e>
              <m:r>
                <m:t>q</m:t>
              </m:r>
            </m:e>
            <m:sub>
              <m:r>
                <m:t>t</m:t>
              </m:r>
            </m:sub>
          </m:sSub>
          <m:r>
            <m:rPr>
              <m:sty m:val="p"/>
            </m:rPr>
            <m:t>,</m:t>
          </m:r>
          <m:sSub>
            <m:e>
              <m:r>
                <m:t>S</m:t>
              </m:r>
            </m:e>
            <m:sub>
              <m:r>
                <m:t>K</m:t>
              </m:r>
            </m:sub>
          </m:sSub>
          <m:r>
            <m:rPr>
              <m:sty m:val="p"/>
            </m:rPr>
            <m:t>,</m:t>
          </m:r>
          <m:sSub>
            <m:e>
              <m:r>
                <m:t>S</m:t>
              </m:r>
            </m:e>
            <m:sub>
              <m:r>
                <m:t>V</m:t>
              </m:r>
            </m:sub>
          </m:sSub>
          <m:r>
            <m:rPr>
              <m:sty m:val="p"/>
            </m:rPr>
            <m:t>)</m:t>
          </m:r>
        </m:oMath>
      </m:oMathPara>
    </w:p>
    <w:p>
      <w:pPr>
        <w:pStyle w:val="FirstParagraph"/>
      </w:pPr>
      <w:r>
        <w:rPr>
          <w:b/>
          <w:bCs/>
        </w:rPr>
        <w:t xml:space="preserve">Near-field channel:</w:t>
      </w:r>
      <w:r>
        <w:t xml:space="preserve"> </w:t>
      </w:r>
      <w:r>
        <w:t xml:space="preserve">Standard softmax attention on the most recent</w:t>
      </w:r>
      <w:r>
        <w:t xml:space="preserve"> </w:t>
      </w:r>
      <m:oMath>
        <m:r>
          <m:t>k</m:t>
        </m:r>
      </m:oMath>
      <w:r>
        <w:t xml:space="preserve"> </w:t>
      </w:r>
      <w:r>
        <w:t xml:space="preserve">tokens stored in a Ring Buffer:</w:t>
      </w:r>
    </w:p>
    <w:p>
      <w:pPr>
        <w:pStyle w:val="BodyText"/>
      </w:pPr>
      <m:oMathPara>
        <m:oMathParaPr>
          <m:jc m:val="center"/>
        </m:oMathParaPr>
        <m:oMath>
          <m:sSub>
            <m:e>
              <m:r>
                <m:rPr>
                  <m:nor/>
                  <m:sty m:val="p"/>
                </m:rPr>
                <m:t>Attention</m:t>
              </m:r>
            </m:e>
            <m:sub>
              <m:r>
                <m:rPr>
                  <m:nor/>
                  <m:sty m:val="p"/>
                </m:rPr>
                <m:t>near</m:t>
              </m:r>
            </m:sub>
          </m:sSub>
          <m:r>
            <m:rPr>
              <m:sty m:val="p"/>
            </m:rPr>
            <m:t>=</m:t>
          </m:r>
          <m:r>
            <m:rPr>
              <m:nor/>
              <m:sty m:val="p"/>
            </m:rPr>
            <m:t>softmax</m:t>
          </m:r>
          <m:d>
            <m:dPr>
              <m:begChr m:val="("/>
              <m:sepChr m:val=""/>
              <m:endChr m:val=")"/>
              <m:grow/>
            </m:dPr>
            <m:e>
              <m:f>
                <m:fPr>
                  <m:type m:val="bar"/>
                </m:fPr>
                <m:num>
                  <m:sSub>
                    <m:e>
                      <m:r>
                        <m:t>q</m:t>
                      </m:r>
                    </m:e>
                    <m:sub>
                      <m:r>
                        <m:t>t</m:t>
                      </m:r>
                    </m:sub>
                  </m:sSub>
                  <m:r>
                    <m:rPr>
                      <m:sty m:val="p"/>
                    </m:rPr>
                    <m:t>⋅</m:t>
                  </m:r>
                  <m:sSubSup>
                    <m:e>
                      <m:r>
                        <m:t>K</m:t>
                      </m:r>
                    </m:e>
                    <m:sub>
                      <m:r>
                        <m:rPr>
                          <m:nor/>
                          <m:sty m:val="p"/>
                        </m:rPr>
                        <m:t>ring</m:t>
                      </m:r>
                    </m:sub>
                    <m:sup>
                      <m:r>
                        <m:rPr>
                          <m:sty m:val="p"/>
                        </m:rPr>
                        <m:t>⊤</m:t>
                      </m:r>
                    </m:sup>
                  </m:sSubSup>
                </m:num>
                <m:den>
                  <m:rad>
                    <m:radPr>
                      <m:degHide m:val="on"/>
                    </m:radPr>
                    <m:deg/>
                    <m:e>
                      <m:sSub>
                        <m:e>
                          <m:r>
                            <m:t>d</m:t>
                          </m:r>
                        </m:e>
                        <m:sub>
                          <m:r>
                            <m:t>k</m:t>
                          </m:r>
                        </m:sub>
                      </m:sSub>
                    </m:e>
                  </m:rad>
                </m:den>
              </m:f>
            </m:e>
          </m:d>
          <m:r>
            <m:rPr>
              <m:sty m:val="p"/>
            </m:rPr>
            <m:t>⋅</m:t>
          </m:r>
          <m:sSub>
            <m:e>
              <m:r>
                <m:t>V</m:t>
              </m:r>
            </m:e>
            <m:sub>
              <m:r>
                <m:rPr>
                  <m:nor/>
                  <m:sty m:val="p"/>
                </m:rPr>
                <m:t>ring</m:t>
              </m:r>
            </m:sub>
          </m:sSub>
        </m:oMath>
      </m:oMathPara>
    </w:p>
    <w:p>
      <w:pPr>
        <w:pStyle w:val="FirstParagraph"/>
      </w:pPr>
      <w:r>
        <w:rPr>
          <w:b/>
          <w:bCs/>
        </w:rPr>
        <w:t xml:space="preserve">Far-field channel:</w:t>
      </w:r>
      <w:r>
        <w:t xml:space="preserve"> </w:t>
      </w:r>
      <w:r>
        <w:t xml:space="preserve">Attention against EMA-compressed field states:</w:t>
      </w:r>
    </w:p>
    <w:p>
      <w:pPr>
        <w:pStyle w:val="BodyText"/>
      </w:pPr>
      <m:oMathPara>
        <m:oMathParaPr>
          <m:jc m:val="center"/>
        </m:oMathParaPr>
        <m:oMath>
          <m:sSubSup>
            <m:e>
              <m:r>
                <m:t>S</m:t>
              </m:r>
            </m:e>
            <m:sub>
              <m:r>
                <m:t>K</m:t>
              </m:r>
            </m:sub>
            <m:sup>
              <m:r>
                <m:rPr>
                  <m:sty m:val="p"/>
                </m:rPr>
                <m:t>(</m:t>
              </m:r>
              <m:r>
                <m:t>t</m:t>
              </m:r>
              <m:r>
                <m:rPr>
                  <m:sty m:val="p"/>
                </m:rPr>
                <m:t>)</m:t>
              </m:r>
            </m:sup>
          </m:sSubSup>
          <m:r>
            <m:rPr>
              <m:sty m:val="p"/>
            </m:rPr>
            <m:t>=</m:t>
          </m:r>
          <m:r>
            <m:t>γ</m:t>
          </m:r>
          <m:r>
            <m:rPr>
              <m:sty m:val="p"/>
            </m:rPr>
            <m:t>⋅</m:t>
          </m:r>
          <m:sSubSup>
            <m:e>
              <m:r>
                <m:t>S</m:t>
              </m:r>
            </m:e>
            <m:sub>
              <m:r>
                <m:t>K</m:t>
              </m:r>
            </m:sub>
            <m:sup>
              <m:r>
                <m:rPr>
                  <m:sty m:val="p"/>
                </m:rPr>
                <m:t>(</m:t>
              </m:r>
              <m:r>
                <m:t>t</m:t>
              </m:r>
              <m:r>
                <m:rPr>
                  <m:sty m:val="p"/>
                </m:rPr>
                <m:t>−</m:t>
              </m:r>
              <m:r>
                <m:t>1</m:t>
              </m:r>
              <m:r>
                <m:rPr>
                  <m:sty m:val="p"/>
                </m:rPr>
                <m:t>)</m:t>
              </m:r>
            </m:sup>
          </m:sSubSup>
          <m:r>
            <m:rPr>
              <m:sty m:val="p"/>
            </m:rPr>
            <m:t>+</m:t>
          </m:r>
          <m:r>
            <m:rPr>
              <m:sty m:val="p"/>
            </m:rPr>
            <m:t>(</m:t>
          </m:r>
          <m:r>
            <m:t>1</m:t>
          </m:r>
          <m:r>
            <m:rPr>
              <m:sty m:val="p"/>
            </m:rPr>
            <m:t>−</m:t>
          </m:r>
          <m:r>
            <m:t>γ</m:t>
          </m:r>
          <m:r>
            <m:rPr>
              <m:sty m:val="p"/>
            </m:rPr>
            <m:t>)</m:t>
          </m:r>
          <m:r>
            <m:rPr>
              <m:sty m:val="p"/>
            </m:rPr>
            <m:t>⋅</m:t>
          </m:r>
          <m:sSub>
            <m:e>
              <m:r>
                <m:t>k</m:t>
              </m:r>
            </m:e>
            <m:sub>
              <m:r>
                <m:t>t</m:t>
              </m:r>
            </m:sub>
          </m:sSub>
          <m:r>
            <m:rPr>
              <m:sty m:val="p"/>
            </m:rPr>
            <m:t>,</m:t>
          </m:r>
          <m:r>
            <m:t> </m:t>
          </m:r>
          <m:sSubSup>
            <m:e>
              <m:r>
                <m:t>S</m:t>
              </m:r>
            </m:e>
            <m:sub>
              <m:r>
                <m:t>V</m:t>
              </m:r>
            </m:sub>
            <m:sup>
              <m:r>
                <m:rPr>
                  <m:sty m:val="p"/>
                </m:rPr>
                <m:t>(</m:t>
              </m:r>
              <m:r>
                <m:t>t</m:t>
              </m:r>
              <m:r>
                <m:rPr>
                  <m:sty m:val="p"/>
                </m:rPr>
                <m:t>)</m:t>
              </m:r>
            </m:sup>
          </m:sSubSup>
          <m:r>
            <m:rPr>
              <m:sty m:val="p"/>
            </m:rPr>
            <m:t>=</m:t>
          </m:r>
          <m:r>
            <m:t>γ</m:t>
          </m:r>
          <m:r>
            <m:rPr>
              <m:sty m:val="p"/>
            </m:rPr>
            <m:t>⋅</m:t>
          </m:r>
          <m:sSubSup>
            <m:e>
              <m:r>
                <m:t>S</m:t>
              </m:r>
            </m:e>
            <m:sub>
              <m:r>
                <m:t>V</m:t>
              </m:r>
            </m:sub>
            <m:sup>
              <m:r>
                <m:rPr>
                  <m:sty m:val="p"/>
                </m:rPr>
                <m:t>(</m:t>
              </m:r>
              <m:r>
                <m:t>t</m:t>
              </m:r>
              <m:r>
                <m:rPr>
                  <m:sty m:val="p"/>
                </m:rPr>
                <m:t>−</m:t>
              </m:r>
              <m:r>
                <m:t>1</m:t>
              </m:r>
              <m:r>
                <m:rPr>
                  <m:sty m:val="p"/>
                </m:rPr>
                <m:t>)</m:t>
              </m:r>
            </m:sup>
          </m:sSubSup>
          <m:r>
            <m:rPr>
              <m:sty m:val="p"/>
            </m:rPr>
            <m:t>+</m:t>
          </m:r>
          <m:r>
            <m:rPr>
              <m:sty m:val="p"/>
            </m:rPr>
            <m:t>(</m:t>
          </m:r>
          <m:r>
            <m:t>1</m:t>
          </m:r>
          <m:r>
            <m:rPr>
              <m:sty m:val="p"/>
            </m:rPr>
            <m:t>−</m:t>
          </m:r>
          <m:r>
            <m:t>γ</m:t>
          </m:r>
          <m:r>
            <m:rPr>
              <m:sty m:val="p"/>
            </m:rPr>
            <m:t>)</m:t>
          </m:r>
          <m:r>
            <m:rPr>
              <m:sty m:val="p"/>
            </m:rPr>
            <m:t>⋅</m:t>
          </m:r>
          <m:sSub>
            <m:e>
              <m:r>
                <m:t>v</m:t>
              </m:r>
            </m:e>
            <m:sub>
              <m:r>
                <m:t>t</m:t>
              </m:r>
            </m:sub>
          </m:sSub>
        </m:oMath>
      </m:oMathPara>
    </w:p>
    <w:p>
      <w:pPr>
        <w:pStyle w:val="FirstParagraph"/>
      </w:pPr>
      <m:oMathPara>
        <m:oMathParaPr>
          <m:jc m:val="center"/>
        </m:oMathParaPr>
        <m:oMath>
          <m:sSub>
            <m:e>
              <m:r>
                <m:rPr>
                  <m:nor/>
                  <m:sty m:val="p"/>
                </m:rPr>
                <m:t>Attention</m:t>
              </m:r>
            </m:e>
            <m:sub>
              <m:r>
                <m:rPr>
                  <m:nor/>
                  <m:sty m:val="p"/>
                </m:rPr>
                <m:t>far</m:t>
              </m:r>
            </m:sub>
          </m:sSub>
          <m:r>
            <m:rPr>
              <m:sty m:val="p"/>
            </m:rPr>
            <m:t>=</m:t>
          </m:r>
          <m:f>
            <m:fPr>
              <m:type m:val="bar"/>
            </m:fPr>
            <m:num>
              <m:sSub>
                <m:e>
                  <m:r>
                    <m:t>q</m:t>
                  </m:r>
                </m:e>
                <m:sub>
                  <m:r>
                    <m:t>t</m:t>
                  </m:r>
                </m:sub>
              </m:sSub>
              <m:r>
                <m:rPr>
                  <m:sty m:val="p"/>
                </m:rPr>
                <m:t>⋅</m:t>
              </m:r>
              <m:sSubSup>
                <m:e>
                  <m:r>
                    <m:t>S</m:t>
                  </m:r>
                </m:e>
                <m:sub>
                  <m:r>
                    <m:t>K</m:t>
                  </m:r>
                </m:sub>
                <m:sup>
                  <m:r>
                    <m:rPr>
                      <m:sty m:val="p"/>
                    </m:rPr>
                    <m:t>(</m:t>
                  </m:r>
                  <m:r>
                    <m:t>t</m:t>
                  </m:r>
                  <m:r>
                    <m:rPr>
                      <m:sty m:val="p"/>
                    </m:rPr>
                    <m:t>)</m:t>
                  </m:r>
                </m:sup>
              </m:sSubSup>
            </m:num>
            <m:den>
              <m:rad>
                <m:radPr>
                  <m:degHide m:val="on"/>
                </m:radPr>
                <m:deg/>
                <m:e>
                  <m:sSub>
                    <m:e>
                      <m:r>
                        <m:t>d</m:t>
                      </m:r>
                    </m:e>
                    <m:sub>
                      <m:r>
                        <m:t>k</m:t>
                      </m:r>
                    </m:sub>
                  </m:sSub>
                </m:e>
              </m:rad>
            </m:den>
          </m:f>
          <m:r>
            <m:rPr>
              <m:sty m:val="p"/>
            </m:rPr>
            <m:t>⋅</m:t>
          </m:r>
          <m:sSubSup>
            <m:e>
              <m:r>
                <m:t>S</m:t>
              </m:r>
            </m:e>
            <m:sub>
              <m:r>
                <m:t>V</m:t>
              </m:r>
            </m:sub>
            <m:sup>
              <m:r>
                <m:rPr>
                  <m:sty m:val="p"/>
                </m:rPr>
                <m:t>(</m:t>
              </m:r>
              <m:r>
                <m:t>t</m:t>
              </m:r>
              <m:r>
                <m:rPr>
                  <m:sty m:val="p"/>
                </m:rPr>
                <m:t>)</m:t>
              </m:r>
            </m:sup>
          </m:sSubSup>
        </m:oMath>
      </m:oMathPara>
    </w:p>
    <w:p>
      <w:pPr>
        <w:pStyle w:val="FirstParagraph"/>
      </w:pPr>
      <w:r>
        <w:t xml:space="preserve">where</w:t>
      </w:r>
      <w:r>
        <w:t xml:space="preserve"> </w:t>
      </w:r>
      <m:oMath>
        <m:r>
          <m:t>γ</m:t>
        </m:r>
        <m:r>
          <m:rPr>
            <m:sty m:val="p"/>
          </m:rPr>
          <m:t>∈</m:t>
        </m:r>
        <m:r>
          <m:rPr>
            <m:sty m:val="p"/>
          </m:rPr>
          <m:t>(</m:t>
        </m:r>
        <m:r>
          <m:t>0</m:t>
        </m:r>
        <m:r>
          <m:rPr>
            <m:sty m:val="p"/>
          </m:rPr>
          <m:t>,</m:t>
        </m:r>
        <m:r>
          <m:t>1</m:t>
        </m:r>
        <m:r>
          <m:rPr>
            <m:sty m:val="p"/>
          </m:rPr>
          <m:t>)</m:t>
        </m:r>
      </m:oMath>
      <w:r>
        <w:t xml:space="preserve"> </w:t>
      </w:r>
      <w:r>
        <w:t xml:space="preserve">is the temporal decay coefficient (default 0.98), and</w:t>
      </w:r>
      <w:r>
        <w:t xml:space="preserve"> </w:t>
      </w:r>
      <m:oMath>
        <m:r>
          <m:t>α</m:t>
        </m:r>
      </m:oMath>
      <w:r>
        <w:t xml:space="preserve"> </w:t>
      </w:r>
      <w:r>
        <w:t xml:space="preserve">is the far-field mixing coefficient (default 0.1).</w:t>
      </w:r>
    </w:p>
    <w:bookmarkEnd w:id="10"/>
    <w:bookmarkStart w:id="11" w:name="complexity-analysis"/>
    <w:p>
      <w:pPr>
        <w:pStyle w:val="Heading2"/>
      </w:pPr>
      <w:r>
        <w:t xml:space="preserve">Complexity Analysis</w:t>
      </w:r>
    </w:p>
    <w:p>
      <w:pPr>
        <w:pStyle w:val="FirstParagraph"/>
      </w:pPr>
      <w:r>
        <w:rPr>
          <w:b/>
          <w:bCs/>
        </w:rPr>
        <w:t xml:space="preserve">Theorem 1 (Complexity Bounds).</w:t>
      </w:r>
      <w:r>
        <w:t xml:space="preserve"> </w:t>
      </w:r>
      <w:r>
        <w:t xml:space="preserve">For sequence length</w:t>
      </w:r>
      <w:r>
        <w:t xml:space="preserve"> </w:t>
      </w:r>
      <m:oMath>
        <m:r>
          <m:t>n</m:t>
        </m:r>
      </m:oMath>
      <w:r>
        <w:t xml:space="preserve">, model dimension</w:t>
      </w:r>
      <w:r>
        <w:t xml:space="preserve"> </w:t>
      </w:r>
      <m:oMath>
        <m:r>
          <m:t>d</m:t>
        </m:r>
      </m:oMath>
      <w:r>
        <w:t xml:space="preserve">, window size</w:t>
      </w:r>
      <w:r>
        <w:t xml:space="preserve"> </w:t>
      </w:r>
      <m:oMath>
        <m:r>
          <m:t>k</m:t>
        </m:r>
      </m:oMath>
      <w:r>
        <w:t xml:space="preserve">, and number of attention heads</w:t>
      </w:r>
      <w:r>
        <w:t xml:space="preserve"> </w:t>
      </w:r>
      <m:oMath>
        <m:r>
          <m:t>h</m:t>
        </m:r>
      </m:oMath>
      <w:r>
        <w:t xml:space="preserve">:</w:t>
      </w:r>
    </w:p>
    <w:p>
      <w:pPr>
        <w:pStyle w:val="BodyText"/>
      </w:pPr>
      <m:oMathPara>
        <m:oMathParaPr>
          <m:jc m:val="center"/>
        </m:oMathParaPr>
        <m:oMath>
          <m:eqArr>
            <m:e>
              <m:sSub>
                <m:e>
                  <m:r>
                    <m:t>T</m:t>
                  </m:r>
                </m:e>
                <m:sub>
                  <m:r>
                    <m:rPr>
                      <m:nor/>
                      <m:sty m:val="p"/>
                    </m:rPr>
                    <m:t>compute</m:t>
                  </m:r>
                </m:sub>
              </m:sSub>
              <m:r>
                <m:t>&amp;</m:t>
              </m:r>
              <m:r>
                <m:rPr>
                  <m:sty m:val="p"/>
                </m:rPr>
                <m:t>=</m:t>
              </m:r>
              <m:r>
                <m:t>O</m:t>
              </m:r>
              <m:r>
                <m:rPr>
                  <m:sty m:val="p"/>
                </m:rPr>
                <m:t>(</m:t>
              </m:r>
              <m:r>
                <m:t>n</m:t>
              </m:r>
              <m:r>
                <m:rPr>
                  <m:sty m:val="p"/>
                </m:rPr>
                <m:t>⋅</m:t>
              </m:r>
              <m:r>
                <m:rPr>
                  <m:sty m:val="p"/>
                </m:rPr>
                <m:t>(</m:t>
              </m:r>
              <m:r>
                <m:t>k</m:t>
              </m:r>
              <m:r>
                <m:rPr>
                  <m:sty m:val="p"/>
                </m:rPr>
                <m:t>⋅</m:t>
              </m:r>
              <m:r>
                <m:t>d</m:t>
              </m:r>
              <m:r>
                <m:rPr>
                  <m:sty m:val="p"/>
                </m:rPr>
                <m:t>+</m:t>
              </m:r>
              <m:r>
                <m:t>d</m:t>
              </m:r>
              <m:r>
                <m:rPr>
                  <m:sty m:val="p"/>
                </m:rPr>
                <m:t>)</m:t>
              </m:r>
              <m:r>
                <m:rPr>
                  <m:sty m:val="p"/>
                </m:rPr>
                <m:t>)</m:t>
              </m:r>
              <m:r>
                <m:rPr>
                  <m:sty m:val="p"/>
                </m:rPr>
                <m:t>=</m:t>
              </m:r>
              <m:r>
                <m:t>O</m:t>
              </m:r>
              <m:r>
                <m:rPr>
                  <m:sty m:val="p"/>
                </m:rPr>
                <m:t>(</m:t>
              </m:r>
              <m:r>
                <m:t>k</m:t>
              </m:r>
              <m:r>
                <m:rPr>
                  <m:sty m:val="p"/>
                </m:rPr>
                <m:t>⋅</m:t>
              </m:r>
              <m:r>
                <m:t>n</m:t>
              </m:r>
              <m:r>
                <m:rPr>
                  <m:sty m:val="p"/>
                </m:rPr>
                <m:t>⋅</m:t>
              </m:r>
              <m:r>
                <m:t>d</m:t>
              </m:r>
              <m:r>
                <m:rPr>
                  <m:sty m:val="p"/>
                </m:rPr>
                <m:t>)</m:t>
              </m:r>
            </m:e>
            <m:e>
              <m:sSub>
                <m:e>
                  <m:r>
                    <m:t>M</m:t>
                  </m:r>
                </m:e>
                <m:sub>
                  <m:r>
                    <m:rPr>
                      <m:nor/>
                      <m:sty m:val="p"/>
                    </m:rPr>
                    <m:t>memory</m:t>
                  </m:r>
                </m:sub>
              </m:sSub>
              <m:r>
                <m:t>&amp;</m:t>
              </m:r>
              <m:r>
                <m:rPr>
                  <m:sty m:val="p"/>
                </m:rPr>
                <m:t>=</m:t>
              </m:r>
              <m:r>
                <m:t>O</m:t>
              </m:r>
              <m:r>
                <m:rPr>
                  <m:sty m:val="p"/>
                </m:rPr>
                <m:t>(</m:t>
              </m:r>
              <m:r>
                <m:t>k</m:t>
              </m:r>
              <m:r>
                <m:rPr>
                  <m:sty m:val="p"/>
                </m:rPr>
                <m:t>⋅</m:t>
              </m:r>
              <m:r>
                <m:t>h</m:t>
              </m:r>
              <m:r>
                <m:rPr>
                  <m:sty m:val="p"/>
                </m:rPr>
                <m:t>⋅</m:t>
              </m:r>
              <m:sSub>
                <m:e>
                  <m:r>
                    <m:t>d</m:t>
                  </m:r>
                </m:e>
                <m:sub>
                  <m:r>
                    <m:rPr>
                      <m:nor/>
                      <m:sty m:val="p"/>
                    </m:rPr>
                    <m:t>head</m:t>
                  </m:r>
                </m:sub>
              </m:sSub>
              <m:r>
                <m:rPr>
                  <m:sty m:val="p"/>
                </m:rPr>
                <m:t>+</m:t>
              </m:r>
              <m:r>
                <m:t>h</m:t>
              </m:r>
              <m:r>
                <m:rPr>
                  <m:sty m:val="p"/>
                </m:rPr>
                <m:t>⋅</m:t>
              </m:r>
              <m:sSub>
                <m:e>
                  <m:r>
                    <m:t>d</m:t>
                  </m:r>
                </m:e>
                <m:sub>
                  <m:r>
                    <m:rPr>
                      <m:nor/>
                      <m:sty m:val="p"/>
                    </m:rPr>
                    <m:t>head</m:t>
                  </m:r>
                </m:sub>
              </m:sSub>
              <m:r>
                <m:rPr>
                  <m:sty m:val="p"/>
                </m:rPr>
                <m:t>)</m:t>
              </m:r>
              <m:r>
                <m:rPr>
                  <m:sty m:val="p"/>
                </m:rPr>
                <m:t>=</m:t>
              </m:r>
              <m:r>
                <m:t>O</m:t>
              </m:r>
              <m:r>
                <m:rPr>
                  <m:sty m:val="p"/>
                </m:rPr>
                <m:t>(</m:t>
              </m:r>
              <m:r>
                <m:t>k</m:t>
              </m:r>
              <m:r>
                <m:rPr>
                  <m:sty m:val="p"/>
                </m:rPr>
                <m:t>⋅</m:t>
              </m:r>
              <m:r>
                <m:t>d</m:t>
              </m:r>
              <m:r>
                <m:rPr>
                  <m:sty m:val="p"/>
                </m:rPr>
                <m:t>)</m:t>
              </m:r>
            </m:e>
          </m:eqArr>
        </m:oMath>
      </m:oMathPara>
    </w:p>
    <w:p>
      <w:pPr>
        <w:pStyle w:val="FirstParagraph"/>
      </w:pPr>
      <w:r>
        <w:rPr>
          <w:b/>
          <w:bCs/>
        </w:rPr>
        <w:t xml:space="preserve">Proof:</w:t>
      </w:r>
      <w:r>
        <w:t xml:space="preserve"> </w:t>
      </w:r>
      <w:r>
        <w:t xml:space="preserve">The near-field channel processes</w:t>
      </w:r>
      <w:r>
        <w:t xml:space="preserve"> </w:t>
      </w:r>
      <m:oMath>
        <m:r>
          <m:t>k</m:t>
        </m:r>
      </m:oMath>
      <w:r>
        <w:t xml:space="preserve"> </w:t>
      </w:r>
      <w:r>
        <w:t xml:space="preserve">tokens per step, requiring</w:t>
      </w:r>
      <w:r>
        <w:t xml:space="preserve"> </w:t>
      </w:r>
      <m:oMath>
        <m:r>
          <m:t>O</m:t>
        </m:r>
        <m:r>
          <m:rPr>
            <m:sty m:val="p"/>
          </m:rPr>
          <m:t>(</m:t>
        </m:r>
        <m:r>
          <m:t>k</m:t>
        </m:r>
        <m:r>
          <m:rPr>
            <m:sty m:val="p"/>
          </m:rPr>
          <m:t>⋅</m:t>
        </m:r>
        <m:r>
          <m:t>d</m:t>
        </m:r>
        <m:r>
          <m:rPr>
            <m:sty m:val="p"/>
          </m:rPr>
          <m:t>)</m:t>
        </m:r>
      </m:oMath>
      <w:r>
        <w:t xml:space="preserve"> </w:t>
      </w:r>
      <w:r>
        <w:t xml:space="preserve">per token. The far-field channel operates on fixed-size state vectors of dimension</w:t>
      </w:r>
      <w:r>
        <w:t xml:space="preserve"> </w:t>
      </w:r>
      <m:oMath>
        <m:sSub>
          <m:e>
            <m:r>
              <m:t>d</m:t>
            </m:r>
          </m:e>
          <m:sub>
            <m:r>
              <m:rPr>
                <m:nor/>
                <m:sty m:val="p"/>
              </m:rPr>
              <m:t>head</m:t>
            </m:r>
          </m:sub>
        </m:sSub>
      </m:oMath>
      <w:r>
        <w:t xml:space="preserve">, requiring</w:t>
      </w:r>
      <w:r>
        <w:t xml:space="preserve"> </w:t>
      </w:r>
      <m:oMath>
        <m:r>
          <m:t>O</m:t>
        </m:r>
        <m:r>
          <m:rPr>
            <m:sty m:val="p"/>
          </m:rPr>
          <m:t>(</m:t>
        </m:r>
        <m:r>
          <m:t>d</m:t>
        </m:r>
        <m:r>
          <m:rPr>
            <m:sty m:val="p"/>
          </m:rPr>
          <m:t>)</m:t>
        </m:r>
      </m:oMath>
      <w:r>
        <w:t xml:space="preserve"> </w:t>
      </w:r>
      <w:r>
        <w:t xml:space="preserve">per step. Summing over</w:t>
      </w:r>
      <w:r>
        <w:t xml:space="preserve"> </w:t>
      </w:r>
      <m:oMath>
        <m:r>
          <m:t>n</m:t>
        </m:r>
      </m:oMath>
      <w:r>
        <w:t xml:space="preserve"> </w:t>
      </w:r>
      <w:r>
        <w:t xml:space="preserve">tokens yields</w:t>
      </w:r>
      <w:r>
        <w:t xml:space="preserve"> </w:t>
      </w:r>
      <m:oMath>
        <m:r>
          <m:t>O</m:t>
        </m:r>
        <m:r>
          <m:rPr>
            <m:sty m:val="p"/>
          </m:rPr>
          <m:t>(</m:t>
        </m:r>
        <m:r>
          <m:t>k</m:t>
        </m:r>
        <m:r>
          <m:rPr>
            <m:sty m:val="p"/>
          </m:rPr>
          <m:t>⋅</m:t>
        </m:r>
        <m:r>
          <m:t>n</m:t>
        </m:r>
        <m:r>
          <m:rPr>
            <m:sty m:val="p"/>
          </m:rPr>
          <m:t>⋅</m:t>
        </m:r>
        <m:r>
          <m:t>d</m:t>
        </m:r>
        <m:r>
          <m:rPr>
            <m:sty m:val="p"/>
          </m:rPr>
          <m:t>)</m:t>
        </m:r>
      </m:oMath>
      <w:r>
        <w:t xml:space="preserve"> </w:t>
      </w:r>
      <w:r>
        <w:t xml:space="preserve">computation and</w:t>
      </w:r>
      <w:r>
        <w:t xml:space="preserve"> </w:t>
      </w:r>
      <m:oMath>
        <m:r>
          <m:t>O</m:t>
        </m:r>
        <m:r>
          <m:rPr>
            <m:sty m:val="p"/>
          </m:rPr>
          <m:t>(</m:t>
        </m:r>
        <m:r>
          <m:t>k</m:t>
        </m:r>
        <m:r>
          <m:rPr>
            <m:sty m:val="p"/>
          </m:rPr>
          <m:t>⋅</m:t>
        </m:r>
        <m:r>
          <m:t>d</m:t>
        </m:r>
        <m:r>
          <m:rPr>
            <m:sty m:val="p"/>
          </m:rPr>
          <m:t>)</m:t>
        </m:r>
      </m:oMath>
      <w:r>
        <w:t xml:space="preserve"> </w:t>
      </w:r>
      <w:r>
        <w:t xml:space="preserve">memory.</w:t>
      </w:r>
      <w:r>
        <w:t xml:space="preserve"> </w:t>
      </w:r>
      <m:oMath>
        <m:r>
          <m:rPr>
            <m:sty m:val="p"/>
          </m:rPr>
          <m:t>▫</m:t>
        </m:r>
      </m:oMath>
    </w:p>
    <w:p>
      <w:pPr>
        <w:pStyle w:val="BodyText"/>
      </w:pPr>
      <w:r>
        <w:rPr>
          <w:b/>
          <w:bCs/>
        </w:rPr>
        <w:t xml:space="preserve">Corollary 1.</w:t>
      </w:r>
      <w:r>
        <w:t xml:space="preserve"> </w:t>
      </w:r>
      <w:r>
        <w:t xml:space="preserve">When</w:t>
      </w:r>
      <w:r>
        <w:t xml:space="preserve"> </w:t>
      </w:r>
      <m:oMath>
        <m:r>
          <m:t>k</m:t>
        </m:r>
        <m:r>
          <m:rPr>
            <m:sty m:val="p"/>
          </m:rPr>
          <m:t>≪</m:t>
        </m:r>
        <m:r>
          <m:t>n</m:t>
        </m:r>
      </m:oMath>
      <w:r>
        <w:t xml:space="preserve">, computation approaches linear</w:t>
      </w:r>
      <w:r>
        <w:t xml:space="preserve"> </w:t>
      </w:r>
      <m:oMath>
        <m:r>
          <m:t>O</m:t>
        </m:r>
        <m:r>
          <m:rPr>
            <m:sty m:val="p"/>
          </m:rPr>
          <m:t>(</m:t>
        </m:r>
        <m:r>
          <m:t>n</m:t>
        </m:r>
        <m:r>
          <m:rPr>
            <m:sty m:val="p"/>
          </m:rPr>
          <m:t>⋅</m:t>
        </m:r>
        <m:r>
          <m:t>d</m:t>
        </m:r>
        <m:r>
          <m:rPr>
            <m:sty m:val="p"/>
          </m:rPr>
          <m:t>)</m:t>
        </m:r>
      </m:oMath>
      <w:r>
        <w:t xml:space="preserve"> </w:t>
      </w:r>
      <w:r>
        <w:t xml:space="preserve">while memory is strictly constant</w:t>
      </w:r>
      <w:r>
        <w:t xml:space="preserve"> </w:t>
      </w:r>
      <m:oMath>
        <m:r>
          <m:t>O</m:t>
        </m:r>
        <m:r>
          <m:rPr>
            <m:sty m:val="p"/>
          </m:rPr>
          <m:t>(</m:t>
        </m:r>
        <m:r>
          <m:t>k</m:t>
        </m:r>
        <m:r>
          <m:rPr>
            <m:sty m:val="p"/>
          </m:rPr>
          <m:t>⋅</m:t>
        </m:r>
        <m:r>
          <m:t>d</m:t>
        </m:r>
        <m:r>
          <m:rPr>
            <m:sty m:val="p"/>
          </m:rPr>
          <m:t>)</m:t>
        </m:r>
      </m:oMath>
      <w:r>
        <w:t xml:space="preserve">, independent of sequence length.</w:t>
      </w:r>
    </w:p>
    <w:bookmarkEnd w:id="11"/>
    <w:bookmarkStart w:id="12" w:name="correctness-verification"/>
    <w:p>
      <w:pPr>
        <w:pStyle w:val="Heading2"/>
      </w:pPr>
      <w:r>
        <w:t xml:space="preserve">Correctness Verification</w:t>
      </w:r>
    </w:p>
    <w:p>
      <w:pPr>
        <w:pStyle w:val="FirstParagraph"/>
      </w:pPr>
      <w:r>
        <w:t xml:space="preserve">We verify SFA correctness by sharing identical QKV and Output projection weights between SFA and Causal Standard Attention, then comparing outputs.</w:t>
      </w:r>
    </w:p>
    <w:p>
      <w:pPr>
        <w:pStyle w:val="BodyText"/>
      </w:pPr>
      <w:r>
        <w:rPr>
          <w:b/>
          <w:bCs/>
        </w:rPr>
        <w:t xml:space="preserve">Design note:</w:t>
      </w:r>
      <w:r>
        <w:t xml:space="preserve"> </w:t>
      </w:r>
      <w:r>
        <w:t xml:space="preserve">At</w:t>
      </w:r>
      <w:r>
        <w:t xml:space="preserve"> </w:t>
      </w:r>
      <m:oMath>
        <m:r>
          <m:t>t</m:t>
        </m:r>
        <m:r>
          <m:rPr>
            <m:sty m:val="p"/>
          </m:rPr>
          <m:t>=</m:t>
        </m:r>
        <m:r>
          <m:t>0</m:t>
        </m:r>
      </m:oMath>
      <w:r>
        <w:t xml:space="preserve">, the Ring Buffer is empty, producing zero output. Causal Standard Attention uses a triangular mask, producing a uniform distribution at</w:t>
      </w:r>
      <w:r>
        <w:t xml:space="preserve"> </w:t>
      </w:r>
      <m:oMath>
        <m:r>
          <m:t>t</m:t>
        </m:r>
        <m:r>
          <m:rPr>
            <m:sty m:val="p"/>
          </m:rPr>
          <m:t>=</m:t>
        </m:r>
        <m:r>
          <m:t>0</m:t>
        </m:r>
      </m:oMath>
      <w:r>
        <w:t xml:space="preserve">. This design-expected difference does not affect</w:t>
      </w:r>
      <w:r>
        <w:t xml:space="preserve"> </w:t>
      </w:r>
      <m:oMath>
        <m:r>
          <m:t>t</m:t>
        </m:r>
        <m:r>
          <m:rPr>
            <m:sty m:val="p"/>
          </m:rPr>
          <m:t>≥</m:t>
        </m:r>
        <m:r>
          <m:t>1</m:t>
        </m:r>
      </m:oMath>
      <w:r>
        <w:t xml:space="preserve"> </w:t>
      </w:r>
      <w:r>
        <w:t xml:space="preserve">consistency.</w:t>
      </w:r>
    </w:p>
    <w:p>
      <w:pPr>
        <w:pStyle w:val="TableCaption"/>
      </w:pPr>
      <w:r>
        <w:t xml:space="preserve">Correctness verification: Cosine Similarity</w:t>
      </w:r>
      <w:r>
        <w:t xml:space="preserve"> </w:t>
      </w:r>
      <m:oMath>
        <m:r>
          <m:rPr>
            <m:sty m:val="p"/>
          </m:rPr>
          <m:t>=</m:t>
        </m:r>
        <m:r>
          <m:t>1.000000</m:t>
        </m:r>
      </m:oMath>
      <w:r>
        <w:t xml:space="preserve"> </w:t>
      </w:r>
      <w:r>
        <w:t xml:space="preserve">for</w:t>
      </w:r>
      <w:r>
        <w:t xml:space="preserve"> </w:t>
      </w:r>
      <m:oMath>
        <m:r>
          <m:t>t</m:t>
        </m:r>
        <m:r>
          <m:rPr>
            <m:sty m:val="p"/>
          </m:rPr>
          <m:t>≥</m:t>
        </m:r>
        <m:r>
          <m:t>1</m:t>
        </m:r>
      </m:oMath>
      <w:r>
        <w:t xml:space="preserve"> </w:t>
      </w:r>
      <w:r>
        <w:t xml:space="preserve">across all sequence lengths (16–1024).</w:t>
      </w:r>
      <w:r>
        <w:t xml:space="preserve"> </w:t>
      </w:r>
      <w:r>
        <w:rPr>
          <w:b/>
          <w:bCs/>
        </w:rPr>
        <w:t xml:space="preserve">Real experiment:</w:t>
      </w:r>
      <w:r>
        <w:t xml:space="preserve"> </w:t>
      </w:r>
      <w:r>
        <w:t xml:space="preserve">MLX prototype, shared QKV/Output weights,</w:t>
      </w:r>
      <w:r>
        <w:t xml:space="preserve"> </w:t>
      </w:r>
      <m:oMath>
        <m:r>
          <m:t>α</m:t>
        </m:r>
        <m:r>
          <m:rPr>
            <m:sty m:val="p"/>
          </m:rPr>
          <m:t>=</m:t>
        </m:r>
        <m:r>
          <m:t>0</m:t>
        </m:r>
      </m:oMath>
      <w:r>
        <w:t xml:space="preserve"> </w:t>
      </w:r>
      <w:r>
        <w:t xml:space="preserve">(near-field only).</w:t>
      </w:r>
    </w:p>
    <w:tbl>
      <w:tblPr>
        <w:tblStyle w:val="Table"/>
        <w:tblW w:type="auto" w:w="0"/>
        <w:tblLook w:firstRow="1" w:lastRow="0" w:firstColumn="0" w:lastColumn="0" w:noHBand="0" w:noVBand="0" w:val="0020"/>
        <w:tblCaption w:val="Correctness verification: Cosine Similarity = 1.000000 for t \geq 1 across all sequence lengths (16–1024). Real experiment: MLX prototype, shared QKV/Output weights, \alpha=0 (near-field only)."/>
      </w:tblPr>
      <w:tblGrid>
        <w:gridCol w:w="1320"/>
        <w:gridCol w:w="1320"/>
        <w:gridCol w:w="1320"/>
        <w:gridCol w:w="1320"/>
        <w:gridCol w:w="1320"/>
        <w:gridCol w:w="1320"/>
      </w:tblGrid>
      <w:tr>
        <w:trPr>
          <w:tblHeader w:val="on"/>
        </w:trPr>
        <w:tc>
          <w:tcPr/>
          <w:p>
            <w:pPr>
              <w:pStyle w:val="Compact"/>
              <w:jc w:val="center"/>
            </w:pPr>
            <w:r>
              <w:t xml:space="preserve">Seq Len</w:t>
            </w:r>
          </w:p>
        </w:tc>
        <w:tc>
          <w:tcPr/>
          <w:p>
            <w:pPr>
              <w:pStyle w:val="Compact"/>
              <w:jc w:val="center"/>
            </w:pPr>
            <w:r>
              <w:t xml:space="preserve">MeanErr</w:t>
            </w:r>
          </w:p>
        </w:tc>
        <w:tc>
          <w:tcPr/>
          <w:p>
            <w:pPr>
              <w:pStyle w:val="Compact"/>
              <w:jc w:val="center"/>
            </w:pPr>
            <w:r>
              <w:t xml:space="preserve">MaxErr</w:t>
            </w:r>
          </w:p>
        </w:tc>
        <w:tc>
          <w:tcPr/>
          <w:p>
            <w:pPr>
              <w:pStyle w:val="Compact"/>
              <w:jc w:val="center"/>
            </w:pPr>
            <w:r>
              <w:t xml:space="preserve">Sim(all)</w:t>
            </w:r>
          </w:p>
        </w:tc>
        <w:tc>
          <w:tcPr/>
          <w:p>
            <w:pPr>
              <w:pStyle w:val="Compact"/>
              <w:jc w:val="center"/>
            </w:pPr>
            <w:r>
              <w:t xml:space="preserve">Sim(</w:t>
            </w:r>
            <m:oMath>
              <m:r>
                <m:t>t</m:t>
              </m:r>
              <m:r>
                <m:rPr>
                  <m:sty m:val="p"/>
                </m:rPr>
                <m:t>≥</m:t>
              </m:r>
              <m:r>
                <m:t>1</m:t>
              </m:r>
            </m:oMath>
            <w:r>
              <w:t xml:space="preserve">)</w:t>
            </w:r>
          </w:p>
        </w:tc>
        <w:tc>
          <w:tcPr/>
          <w:p>
            <w:pPr>
              <w:pStyle w:val="Compact"/>
              <w:jc w:val="center"/>
            </w:pPr>
            <w:r>
              <w:t xml:space="preserve">Status</w:t>
            </w:r>
          </w:p>
        </w:tc>
      </w:tr>
      <w:tr>
        <w:tc>
          <w:tcPr/>
          <w:p>
            <w:pPr>
              <w:pStyle w:val="Compact"/>
              <w:jc w:val="center"/>
            </w:pPr>
            <w:r>
              <w:t xml:space="preserve">16</w:t>
            </w:r>
          </w:p>
        </w:tc>
        <w:tc>
          <w:tcPr/>
          <w:p>
            <w:pPr>
              <w:pStyle w:val="Compact"/>
              <w:jc w:val="center"/>
            </w:pPr>
            <w:r>
              <w:t xml:space="preserve">0.00968</w:t>
            </w:r>
          </w:p>
        </w:tc>
        <w:tc>
          <w:tcPr/>
          <w:p>
            <w:pPr>
              <w:pStyle w:val="Compact"/>
              <w:jc w:val="center"/>
            </w:pPr>
            <w:r>
              <w:t xml:space="preserve">0.538</w:t>
            </w:r>
          </w:p>
        </w:tc>
        <w:tc>
          <w:tcPr/>
          <w:p>
            <w:pPr>
              <w:pStyle w:val="Compact"/>
              <w:jc w:val="center"/>
            </w:pPr>
            <w:r>
              <w:t xml:space="preserve">0.990664</w:t>
            </w:r>
          </w:p>
        </w:tc>
        <w:tc>
          <w:tcPr/>
          <w:p>
            <w:pPr>
              <w:pStyle w:val="Compact"/>
              <w:jc w:val="center"/>
            </w:pPr>
            <w:r>
              <w:rPr>
                <w:b/>
                <w:bCs/>
              </w:rPr>
              <w:t xml:space="preserve">1.000000</w:t>
            </w:r>
          </w:p>
        </w:tc>
        <w:tc>
          <w:tcPr/>
          <w:p>
            <w:pPr>
              <w:pStyle w:val="Compact"/>
              <w:jc w:val="center"/>
            </w:pPr>
            <m:oMath>
              <m:r>
                <m:rPr>
                  <m:sty m:val="p"/>
                </m:rPr>
                <m:t>✓</m:t>
              </m:r>
            </m:oMath>
          </w:p>
        </w:tc>
      </w:tr>
      <w:tr>
        <w:tc>
          <w:tcPr/>
          <w:p>
            <w:pPr>
              <w:pStyle w:val="Compact"/>
              <w:jc w:val="center"/>
            </w:pPr>
            <w:r>
              <w:t xml:space="preserve">32</w:t>
            </w:r>
          </w:p>
        </w:tc>
        <w:tc>
          <w:tcPr/>
          <w:p>
            <w:pPr>
              <w:pStyle w:val="Compact"/>
              <w:jc w:val="center"/>
            </w:pPr>
            <w:r>
              <w:t xml:space="preserve">0.00280</w:t>
            </w:r>
          </w:p>
        </w:tc>
        <w:tc>
          <w:tcPr/>
          <w:p>
            <w:pPr>
              <w:pStyle w:val="Compact"/>
              <w:jc w:val="center"/>
            </w:pPr>
            <w:r>
              <w:t xml:space="preserve">0.231</w:t>
            </w:r>
          </w:p>
        </w:tc>
        <w:tc>
          <w:tcPr/>
          <w:p>
            <w:pPr>
              <w:pStyle w:val="Compact"/>
              <w:jc w:val="center"/>
            </w:pPr>
            <w:r>
              <w:t xml:space="preserve">0.997156</w:t>
            </w:r>
          </w:p>
        </w:tc>
        <w:tc>
          <w:tcPr/>
          <w:p>
            <w:pPr>
              <w:pStyle w:val="Compact"/>
              <w:jc w:val="center"/>
            </w:pPr>
            <w:r>
              <w:rPr>
                <w:b/>
                <w:bCs/>
              </w:rPr>
              <w:t xml:space="preserve">1.000000</w:t>
            </w:r>
          </w:p>
        </w:tc>
        <w:tc>
          <w:tcPr/>
          <w:p>
            <w:pPr>
              <w:pStyle w:val="Compact"/>
              <w:jc w:val="center"/>
            </w:pPr>
            <m:oMath>
              <m:r>
                <m:rPr>
                  <m:sty m:val="p"/>
                </m:rPr>
                <m:t>✓</m:t>
              </m:r>
            </m:oMath>
          </w:p>
        </w:tc>
      </w:tr>
      <w:tr>
        <w:tc>
          <w:tcPr/>
          <w:p>
            <w:pPr>
              <w:pStyle w:val="Compact"/>
              <w:jc w:val="center"/>
            </w:pPr>
            <w:r>
              <w:t xml:space="preserve">64</w:t>
            </w:r>
          </w:p>
        </w:tc>
        <w:tc>
          <w:tcPr/>
          <w:p>
            <w:pPr>
              <w:pStyle w:val="Compact"/>
              <w:jc w:val="center"/>
            </w:pPr>
            <w:r>
              <w:t xml:space="preserve">0.00127</w:t>
            </w:r>
          </w:p>
        </w:tc>
        <w:tc>
          <w:tcPr/>
          <w:p>
            <w:pPr>
              <w:pStyle w:val="Compact"/>
              <w:jc w:val="center"/>
            </w:pPr>
            <w:r>
              <w:t xml:space="preserve">0.360</w:t>
            </w:r>
          </w:p>
        </w:tc>
        <w:tc>
          <w:tcPr/>
          <w:p>
            <w:pPr>
              <w:pStyle w:val="Compact"/>
              <w:jc w:val="center"/>
            </w:pPr>
            <w:r>
              <w:t xml:space="preserve">0.998276</w:t>
            </w:r>
          </w:p>
        </w:tc>
        <w:tc>
          <w:tcPr/>
          <w:p>
            <w:pPr>
              <w:pStyle w:val="Compact"/>
              <w:jc w:val="center"/>
            </w:pPr>
            <w:r>
              <w:rPr>
                <w:b/>
                <w:bCs/>
              </w:rPr>
              <w:t xml:space="preserve">1.000000</w:t>
            </w:r>
          </w:p>
        </w:tc>
        <w:tc>
          <w:tcPr/>
          <w:p>
            <w:pPr>
              <w:pStyle w:val="Compact"/>
              <w:jc w:val="center"/>
            </w:pPr>
            <m:oMath>
              <m:r>
                <m:rPr>
                  <m:sty m:val="p"/>
                </m:rPr>
                <m:t>✓</m:t>
              </m:r>
            </m:oMath>
          </w:p>
        </w:tc>
      </w:tr>
      <w:tr>
        <w:tc>
          <w:tcPr/>
          <w:p>
            <w:pPr>
              <w:pStyle w:val="Compact"/>
              <w:jc w:val="center"/>
            </w:pPr>
            <w:r>
              <w:t xml:space="preserve">128</w:t>
            </w:r>
          </w:p>
        </w:tc>
        <w:tc>
          <w:tcPr/>
          <w:p>
            <w:pPr>
              <w:pStyle w:val="Compact"/>
              <w:jc w:val="center"/>
            </w:pPr>
            <w:r>
              <w:t xml:space="preserve">0.00038</w:t>
            </w:r>
          </w:p>
        </w:tc>
        <w:tc>
          <w:tcPr/>
          <w:p>
            <w:pPr>
              <w:pStyle w:val="Compact"/>
              <w:jc w:val="center"/>
            </w:pPr>
            <w:r>
              <w:t xml:space="preserve">0.198</w:t>
            </w:r>
          </w:p>
        </w:tc>
        <w:tc>
          <w:tcPr/>
          <w:p>
            <w:pPr>
              <w:pStyle w:val="Compact"/>
              <w:jc w:val="center"/>
            </w:pPr>
            <w:r>
              <w:t xml:space="preserve">0.999369</w:t>
            </w:r>
          </w:p>
        </w:tc>
        <w:tc>
          <w:tcPr/>
          <w:p>
            <w:pPr>
              <w:pStyle w:val="Compact"/>
              <w:jc w:val="center"/>
            </w:pPr>
            <w:r>
              <w:rPr>
                <w:b/>
                <w:bCs/>
              </w:rPr>
              <w:t xml:space="preserve">1.000000</w:t>
            </w:r>
          </w:p>
        </w:tc>
        <w:tc>
          <w:tcPr/>
          <w:p>
            <w:pPr>
              <w:pStyle w:val="Compact"/>
              <w:jc w:val="center"/>
            </w:pPr>
            <m:oMath>
              <m:r>
                <m:rPr>
                  <m:sty m:val="p"/>
                </m:rPr>
                <m:t>✓</m:t>
              </m:r>
            </m:oMath>
          </w:p>
        </w:tc>
      </w:tr>
      <w:tr>
        <w:tc>
          <w:tcPr/>
          <w:p>
            <w:pPr>
              <w:pStyle w:val="Compact"/>
              <w:jc w:val="center"/>
            </w:pPr>
            <w:r>
              <w:t xml:space="preserve">256</w:t>
            </w:r>
          </w:p>
        </w:tc>
        <w:tc>
          <w:tcPr/>
          <w:p>
            <w:pPr>
              <w:pStyle w:val="Compact"/>
              <w:jc w:val="center"/>
            </w:pPr>
            <w:r>
              <w:t xml:space="preserve">0.00013</w:t>
            </w:r>
          </w:p>
        </w:tc>
        <w:tc>
          <w:tcPr/>
          <w:p>
            <w:pPr>
              <w:pStyle w:val="Compact"/>
              <w:jc w:val="center"/>
            </w:pPr>
            <w:r>
              <w:t xml:space="preserve">0.096</w:t>
            </w:r>
          </w:p>
        </w:tc>
        <w:tc>
          <w:tcPr/>
          <w:p>
            <w:pPr>
              <w:pStyle w:val="Compact"/>
              <w:jc w:val="center"/>
            </w:pPr>
            <w:r>
              <w:t xml:space="preserve">0.999785</w:t>
            </w:r>
          </w:p>
        </w:tc>
        <w:tc>
          <w:tcPr/>
          <w:p>
            <w:pPr>
              <w:pStyle w:val="Compact"/>
              <w:jc w:val="center"/>
            </w:pPr>
            <w:r>
              <w:rPr>
                <w:b/>
                <w:bCs/>
              </w:rPr>
              <w:t xml:space="preserve">1.000000</w:t>
            </w:r>
          </w:p>
        </w:tc>
        <w:tc>
          <w:tcPr/>
          <w:p>
            <w:pPr>
              <w:pStyle w:val="Compact"/>
              <w:jc w:val="center"/>
            </w:pPr>
            <m:oMath>
              <m:r>
                <m:rPr>
                  <m:sty m:val="p"/>
                </m:rPr>
                <m:t>✓</m:t>
              </m:r>
            </m:oMath>
          </w:p>
        </w:tc>
      </w:tr>
      <w:tr>
        <w:tc>
          <w:tcPr/>
          <w:p>
            <w:pPr>
              <w:pStyle w:val="Compact"/>
              <w:jc w:val="center"/>
            </w:pPr>
            <w:r>
              <w:t xml:space="preserve">512</w:t>
            </w:r>
          </w:p>
        </w:tc>
        <w:tc>
          <w:tcPr/>
          <w:p>
            <w:pPr>
              <w:pStyle w:val="Compact"/>
              <w:jc w:val="center"/>
            </w:pPr>
            <w:r>
              <w:t xml:space="preserve">0.00005</w:t>
            </w:r>
          </w:p>
        </w:tc>
        <w:tc>
          <w:tcPr/>
          <w:p>
            <w:pPr>
              <w:pStyle w:val="Compact"/>
              <w:jc w:val="center"/>
            </w:pPr>
            <w:r>
              <w:t xml:space="preserve">0.083</w:t>
            </w:r>
          </w:p>
        </w:tc>
        <w:tc>
          <w:tcPr/>
          <w:p>
            <w:pPr>
              <w:pStyle w:val="Compact"/>
              <w:jc w:val="center"/>
            </w:pPr>
            <w:r>
              <w:t xml:space="preserve">0.999894</w:t>
            </w:r>
          </w:p>
        </w:tc>
        <w:tc>
          <w:tcPr/>
          <w:p>
            <w:pPr>
              <w:pStyle w:val="Compact"/>
              <w:jc w:val="center"/>
            </w:pPr>
            <w:r>
              <w:rPr>
                <w:b/>
                <w:bCs/>
              </w:rPr>
              <w:t xml:space="preserve">1.000000</w:t>
            </w:r>
          </w:p>
        </w:tc>
        <w:tc>
          <w:tcPr/>
          <w:p>
            <w:pPr>
              <w:pStyle w:val="Compact"/>
              <w:jc w:val="center"/>
            </w:pPr>
            <m:oMath>
              <m:r>
                <m:rPr>
                  <m:sty m:val="p"/>
                </m:rPr>
                <m:t>✓</m:t>
              </m:r>
            </m:oMath>
          </w:p>
        </w:tc>
      </w:tr>
      <w:tr>
        <w:tc>
          <w:tcPr/>
          <w:p>
            <w:pPr>
              <w:pStyle w:val="Compact"/>
              <w:jc w:val="center"/>
            </w:pPr>
            <w:r>
              <w:t xml:space="preserve">1024</w:t>
            </w:r>
          </w:p>
        </w:tc>
        <w:tc>
          <w:tcPr/>
          <w:p>
            <w:pPr>
              <w:pStyle w:val="Compact"/>
              <w:jc w:val="center"/>
            </w:pPr>
            <w:r>
              <w:t xml:space="preserve">0.00002</w:t>
            </w:r>
          </w:p>
        </w:tc>
        <w:tc>
          <w:tcPr/>
          <w:p>
            <w:pPr>
              <w:pStyle w:val="Compact"/>
              <w:jc w:val="center"/>
            </w:pPr>
            <w:r>
              <w:t xml:space="preserve">0.064</w:t>
            </w:r>
          </w:p>
        </w:tc>
        <w:tc>
          <w:tcPr/>
          <w:p>
            <w:pPr>
              <w:pStyle w:val="Compact"/>
              <w:jc w:val="center"/>
            </w:pPr>
            <w:r>
              <w:t xml:space="preserve">0.999957</w:t>
            </w:r>
          </w:p>
        </w:tc>
        <w:tc>
          <w:tcPr/>
          <w:p>
            <w:pPr>
              <w:pStyle w:val="Compact"/>
              <w:jc w:val="center"/>
            </w:pPr>
            <w:r>
              <w:rPr>
                <w:b/>
                <w:bCs/>
              </w:rPr>
              <w:t xml:space="preserve">1.000000</w:t>
            </w:r>
          </w:p>
        </w:tc>
        <w:tc>
          <w:tcPr/>
          <w:p>
            <w:pPr>
              <w:pStyle w:val="Compact"/>
              <w:jc w:val="center"/>
            </w:pPr>
            <m:oMath>
              <m:r>
                <m:rPr>
                  <m:sty m:val="p"/>
                </m:rPr>
                <m:t>✓</m:t>
              </m:r>
            </m:oMath>
          </w:p>
        </w:tc>
      </w:tr>
    </w:tbl>
    <w:bookmarkEnd w:id="12"/>
    <w:bookmarkEnd w:id="13"/>
    <w:bookmarkStart w:id="18" w:name="experimental-results"/>
    <w:p>
      <w:pPr>
        <w:pStyle w:val="Heading1"/>
      </w:pPr>
      <w:r>
        <w:t xml:space="preserve">Experimental Results</w:t>
      </w:r>
    </w:p>
    <w:bookmarkStart w:id="14" w:name="setup"/>
    <w:p>
      <w:pPr>
        <w:pStyle w:val="Heading2"/>
      </w:pPr>
      <w:r>
        <w:t xml:space="preserve">Setup</w:t>
      </w:r>
    </w:p>
    <w:p>
      <w:pPr>
        <w:numPr>
          <w:ilvl w:val="0"/>
          <w:numId w:val="1003"/>
        </w:numPr>
      </w:pPr>
      <w:r>
        <w:rPr>
          <w:b/>
          <w:bCs/>
        </w:rPr>
        <w:t xml:space="preserve">Hardware:</w:t>
      </w:r>
      <w:r>
        <w:t xml:space="preserve"> </w:t>
      </w:r>
      <w:r>
        <w:t xml:space="preserve">Apple MacBook Pro M1 Pro, 16GB RAM</w:t>
      </w:r>
    </w:p>
    <w:p>
      <w:pPr>
        <w:numPr>
          <w:ilvl w:val="0"/>
          <w:numId w:val="1003"/>
        </w:numPr>
      </w:pPr>
      <w:r>
        <w:rPr>
          <w:b/>
          <w:bCs/>
        </w:rPr>
        <w:t xml:space="preserve">Framework:</w:t>
      </w:r>
      <w:r>
        <w:t xml:space="preserve"> </w:t>
      </w:r>
      <w:r>
        <w:t xml:space="preserve">MLX 0.31.2, Python 3.14</w:t>
      </w:r>
    </w:p>
    <w:p>
      <w:pPr>
        <w:numPr>
          <w:ilvl w:val="0"/>
          <w:numId w:val="1003"/>
        </w:numPr>
      </w:pPr>
      <w:r>
        <w:rPr>
          <w:b/>
          <w:bCs/>
        </w:rPr>
        <w:t xml:space="preserve">Models:</w:t>
      </w:r>
      <w:r>
        <w:t xml:space="preserve"> </w:t>
      </w:r>
      <w:r>
        <w:t xml:space="preserve">Qwen2.5-0.5B-Instruct (primary), Qwen2.5-7B-Instruct (theoretical scaling)</w:t>
      </w:r>
    </w:p>
    <w:p>
      <w:pPr>
        <w:numPr>
          <w:ilvl w:val="0"/>
          <w:numId w:val="1003"/>
        </w:numPr>
      </w:pPr>
      <w:r>
        <w:rPr>
          <w:b/>
          <w:bCs/>
        </w:rPr>
        <w:t xml:space="preserve">SFA config:</w:t>
      </w:r>
      <w:r>
        <w:t xml:space="preserve"> </w:t>
      </w:r>
      <m:oMath>
        <m:r>
          <m:t>k</m:t>
        </m:r>
        <m:r>
          <m:rPr>
            <m:sty m:val="p"/>
          </m:rPr>
          <m:t>=</m:t>
        </m:r>
        <m:r>
          <m:t>16</m:t>
        </m:r>
      </m:oMath>
      <w:r>
        <w:t xml:space="preserve">,</w:t>
      </w:r>
      <w:r>
        <w:t xml:space="preserve"> </w:t>
      </w:r>
      <m:oMath>
        <m:r>
          <m:t>γ</m:t>
        </m:r>
        <m:r>
          <m:rPr>
            <m:sty m:val="p"/>
          </m:rPr>
          <m:t>=</m:t>
        </m:r>
        <m:r>
          <m:t>0.98</m:t>
        </m:r>
      </m:oMath>
      <w:r>
        <w:t xml:space="preserve">,</w:t>
      </w:r>
      <w:r>
        <w:t xml:space="preserve"> </w:t>
      </w:r>
      <m:oMath>
        <m:r>
          <m:t>α</m:t>
        </m:r>
        <m:r>
          <m:rPr>
            <m:sty m:val="p"/>
          </m:rPr>
          <m:t>=</m:t>
        </m:r>
        <m:r>
          <m:t>0.1</m:t>
        </m:r>
      </m:oMath>
    </w:p>
    <w:p>
      <w:pPr>
        <w:pStyle w:val="FirstParagraph"/>
      </w:pPr>
      <w:r>
        <w:rPr>
          <w:b/>
          <w:bCs/>
        </w:rPr>
        <w:t xml:space="preserve">Important:</w:t>
      </w:r>
      <w:r>
        <w:t xml:space="preserve"> </w:t>
      </w:r>
      <w:r>
        <w:t xml:space="preserve">All results herein are from MLX Python prototype implementations. C++/Metal kernel deployment targets are noted separately.</w:t>
      </w:r>
    </w:p>
    <w:bookmarkEnd w:id="14"/>
    <w:bookmarkStart w:id="15" w:name="memory-compression"/>
    <w:p>
      <w:pPr>
        <w:pStyle w:val="Heading2"/>
      </w:pPr>
      <w:r>
        <w:t xml:space="preserve">Memory Compression</w:t>
      </w:r>
    </w:p>
    <w:p>
      <w:pPr>
        <w:pStyle w:val="TableCaption"/>
      </w:pPr>
      <w:r>
        <w:t xml:space="preserve">Memory compression on 7B model at 64K sequence.</w:t>
      </w:r>
      <w:r>
        <w:t xml:space="preserve"> </w:t>
      </w:r>
      <w:r>
        <w:rPr>
          <w:b/>
          <w:bCs/>
        </w:rPr>
        <w:t xml:space="preserve">Real calculation:</w:t>
      </w:r>
      <w:r>
        <w:t xml:space="preserve"> </w:t>
      </w:r>
      <w:r>
        <w:t xml:space="preserve">Based on formula verification.</w:t>
      </w:r>
    </w:p>
    <w:tbl>
      <w:tblPr>
        <w:tblStyle w:val="Table"/>
        <w:tblW w:type="auto" w:w="0"/>
        <w:tblLook w:firstRow="1" w:lastRow="0" w:firstColumn="0" w:lastColumn="0" w:noHBand="0" w:noVBand="0" w:val="0020"/>
        <w:tblCaption w:val="Memory compression on 7B model at 64K sequence. Real calculation: Based on formula verification."/>
      </w:tblPr>
      <w:tblGrid>
        <w:gridCol w:w="2640"/>
        <w:gridCol w:w="2640"/>
        <w:gridCol w:w="2640"/>
      </w:tblGrid>
      <w:tr>
        <w:trPr>
          <w:tblHeader w:val="on"/>
        </w:trPr>
        <w:tc>
          <w:tcPr/>
          <w:p>
            <w:pPr>
              <w:pStyle w:val="Compact"/>
              <w:jc w:val="center"/>
            </w:pPr>
            <w:r>
              <w:t xml:space="preserve">Metric</w:t>
            </w:r>
          </w:p>
        </w:tc>
        <w:tc>
          <w:tcPr/>
          <w:p>
            <w:pPr>
              <w:pStyle w:val="Compact"/>
              <w:jc w:val="center"/>
            </w:pPr>
            <w:r>
              <w:t xml:space="preserve">Soma</w:t>
            </w:r>
          </w:p>
        </w:tc>
        <w:tc>
          <w:tcPr/>
          <w:p>
            <w:pPr>
              <w:pStyle w:val="Compact"/>
              <w:jc w:val="center"/>
            </w:pPr>
            <w:r>
              <w:t xml:space="preserve">Standard Attention</w:t>
            </w:r>
          </w:p>
        </w:tc>
      </w:tr>
      <w:tr>
        <w:tc>
          <w:tcPr/>
          <w:p>
            <w:pPr>
              <w:pStyle w:val="Compact"/>
              <w:jc w:val="center"/>
            </w:pPr>
            <w:r>
              <w:t xml:space="preserve">7B at 64K (float16, GQA)</w:t>
            </w:r>
          </w:p>
        </w:tc>
        <w:tc>
          <w:tcPr/>
          <w:p>
            <w:pPr>
              <w:pStyle w:val="Compact"/>
              <w:jc w:val="center"/>
            </w:pPr>
            <w:r>
              <w:rPr>
                <w:b/>
                <w:bCs/>
              </w:rPr>
              <w:t xml:space="preserve">462 KB</w:t>
            </w:r>
          </w:p>
        </w:tc>
        <w:tc>
          <w:tcPr/>
          <w:p>
            <w:pPr>
              <w:pStyle w:val="Compact"/>
              <w:jc w:val="center"/>
            </w:pPr>
            <w:r>
              <w:t xml:space="preserve">128 MB</w:t>
            </w:r>
          </w:p>
        </w:tc>
      </w:tr>
      <w:tr>
        <w:tc>
          <w:tcPr/>
          <w:p>
            <w:pPr>
              <w:pStyle w:val="Compact"/>
              <w:jc w:val="center"/>
            </w:pPr>
            <w:r>
              <w:t xml:space="preserve">7B at 64K (float32, GQA)</w:t>
            </w:r>
          </w:p>
        </w:tc>
        <w:tc>
          <w:tcPr/>
          <w:p>
            <w:pPr>
              <w:pStyle w:val="Compact"/>
              <w:jc w:val="center"/>
            </w:pPr>
            <w:r>
              <w:rPr>
                <w:b/>
                <w:bCs/>
              </w:rPr>
              <w:t xml:space="preserve">462 KB</w:t>
            </w:r>
          </w:p>
        </w:tc>
        <w:tc>
          <w:tcPr/>
          <w:p>
            <w:pPr>
              <w:pStyle w:val="Compact"/>
              <w:jc w:val="center"/>
            </w:pPr>
            <w:r>
              <w:t xml:space="preserve">256 MB</w:t>
            </w:r>
          </w:p>
        </w:tc>
      </w:tr>
      <w:tr>
        <w:tc>
          <w:tcPr/>
          <w:p>
            <w:pPr>
              <w:pStyle w:val="Compact"/>
              <w:jc w:val="center"/>
            </w:pPr>
            <w:r>
              <w:t xml:space="preserve">Compression ratio (f16)</w:t>
            </w:r>
          </w:p>
        </w:tc>
        <w:tc>
          <w:tcPr>
            <w:gridSpan w:val="2"/>
          </w:tcPr>
          <w:p>
            <w:pPr>
              <w:pStyle w:val="Compact"/>
              <w:jc w:val="center"/>
            </w:pPr>
            <w:r>
              <w:rPr>
                <w:b/>
                <w:bCs/>
              </w:rPr>
              <w:t xml:space="preserve">284</w:t>
            </w:r>
            <m:oMath>
              <m:r>
                <m:rPr>
                  <m:sty m:val="p"/>
                </m:rPr>
                <m:t>×</m:t>
              </m:r>
            </m:oMath>
          </w:p>
        </w:tc>
      </w:tr>
      <w:tr>
        <w:tc>
          <w:tcPr/>
          <w:p>
            <w:pPr>
              <w:pStyle w:val="Compact"/>
              <w:jc w:val="center"/>
            </w:pPr>
            <w:r>
              <w:t xml:space="preserve">Compression ratio (f32)</w:t>
            </w:r>
          </w:p>
        </w:tc>
        <w:tc>
          <w:tcPr>
            <w:gridSpan w:val="2"/>
          </w:tcPr>
          <w:p>
            <w:pPr>
              <w:pStyle w:val="Compact"/>
              <w:jc w:val="center"/>
            </w:pPr>
            <w:r>
              <w:rPr>
                <w:b/>
                <w:bCs/>
              </w:rPr>
              <w:t xml:space="preserve">567</w:t>
            </w:r>
            <m:oMath>
              <m:r>
                <m:rPr>
                  <m:sty m:val="p"/>
                </m:rPr>
                <m:t>×</m:t>
              </m:r>
            </m:oMath>
          </w:p>
        </w:tc>
      </w:tr>
      <w:tr>
        <w:tc>
          <w:tcPr/>
          <w:p>
            <w:pPr>
              <w:pStyle w:val="Compact"/>
              <w:jc w:val="center"/>
            </w:pPr>
            <w:r>
              <w:t xml:space="preserve">Trainable parameters (0.5B)</w:t>
            </w:r>
          </w:p>
        </w:tc>
        <w:tc>
          <w:tcPr>
            <w:gridSpan w:val="2"/>
          </w:tcPr>
          <w:p>
            <w:pPr>
              <w:pStyle w:val="Compact"/>
              <w:jc w:val="center"/>
            </w:pPr>
            <w:r>
              <w:rPr>
                <w:b/>
                <w:bCs/>
              </w:rPr>
              <w:t xml:space="preserve">8.1 KB (2,064 params)</w:t>
            </w:r>
          </w:p>
        </w:tc>
      </w:tr>
      <w:tr>
        <w:tc>
          <w:tcPr/>
          <w:p>
            <w:pPr>
              <w:pStyle w:val="Compact"/>
              <w:jc w:val="center"/>
            </w:pPr>
            <w:r>
              <w:t xml:space="preserve">Trainable parameters (7B)</w:t>
            </w:r>
          </w:p>
        </w:tc>
        <w:tc>
          <w:tcPr>
            <w:gridSpan w:val="2"/>
          </w:tcPr>
          <w:p>
            <w:pPr>
              <w:pStyle w:val="Compact"/>
              <w:jc w:val="center"/>
            </w:pPr>
            <w:r>
              <w:rPr>
                <w:b/>
                <w:bCs/>
              </w:rPr>
              <w:t xml:space="preserve">32.8 KB (8,208 params)</w:t>
            </w:r>
          </w:p>
        </w:tc>
      </w:tr>
    </w:tbl>
    <w:p>
      <w:pPr>
        <w:pStyle w:val="BodyText"/>
      </w:pPr>
      <w:r>
        <w:rPr>
          <w:b/>
          <w:bCs/>
        </w:rPr>
        <w:t xml:space="preserve">Note:</w:t>
      </w:r>
      <w:r>
        <w:t xml:space="preserve"> </w:t>
      </w:r>
      <w:r>
        <w:t xml:space="preserve">Previous versions of this work reported 248</w:t>
      </w:r>
      <m:oMath>
        <m:r>
          <m:rPr>
            <m:sty m:val="p"/>
          </m:rPr>
          <m:t>×</m:t>
        </m:r>
      </m:oMath>
      <w:r>
        <w:t xml:space="preserve"> </w:t>
      </w:r>
      <w:r>
        <w:t xml:space="preserve">compression. This value was derived from the 0.5B model at 4096 sequence and was misattributed to the 7B/64K configuration. The corrected values above use proper 7B GQA parameters (28 query heads, 4 KV heads, head_dim=128).</w:t>
      </w:r>
    </w:p>
    <w:bookmarkEnd w:id="15"/>
    <w:bookmarkStart w:id="16" w:name="decoding-latency"/>
    <w:p>
      <w:pPr>
        <w:pStyle w:val="Heading2"/>
      </w:pPr>
      <w:r>
        <w:t xml:space="preserve">Decoding Latency</w:t>
      </w:r>
    </w:p>
    <w:p>
      <w:pPr>
        <w:pStyle w:val="TableCaption"/>
      </w:pPr>
      <w:r>
        <w:t xml:space="preserve">MLX prototype performance.</w:t>
      </w:r>
      <w:r>
        <w:t xml:space="preserve"> </w:t>
      </w:r>
      <w:r>
        <w:rPr>
          <w:b/>
          <w:bCs/>
        </w:rPr>
        <w:t xml:space="preserve">Real experiment.</w:t>
      </w:r>
      <w:r>
        <w:t xml:space="preserve"> </w:t>
      </w:r>
      <w:r>
        <w:t xml:space="preserve">Prefill is slower due to Python loop overhead.</w:t>
      </w:r>
    </w:p>
    <w:tbl>
      <w:tblPr>
        <w:tblStyle w:val="Table"/>
        <w:tblW w:type="auto" w:w="0"/>
        <w:tblLook w:firstRow="1" w:lastRow="0" w:firstColumn="0" w:lastColumn="0" w:noHBand="0" w:noVBand="0" w:val="0020"/>
        <w:tblCaption w:val="MLX prototype performance. Real experiment. Prefill is slower due to Python loop overhead."/>
      </w:tblPr>
      <w:tblGrid>
        <w:gridCol w:w="2640"/>
        <w:gridCol w:w="2640"/>
        <w:gridCol w:w="2640"/>
      </w:tblGrid>
      <w:tr>
        <w:trPr>
          <w:tblHeader w:val="on"/>
        </w:trPr>
        <w:tc>
          <w:tcPr/>
          <w:p>
            <w:pPr>
              <w:pStyle w:val="Compact"/>
              <w:jc w:val="center"/>
            </w:pPr>
            <w:r>
              <w:t xml:space="preserve">Seq Len</w:t>
            </w:r>
          </w:p>
        </w:tc>
        <w:tc>
          <w:tcPr/>
          <w:p>
            <w:pPr>
              <w:pStyle w:val="Compact"/>
              <w:jc w:val="center"/>
            </w:pPr>
            <w:r>
              <w:t xml:space="preserve">Soma Prefill (ms)</w:t>
            </w:r>
          </w:p>
        </w:tc>
        <w:tc>
          <w:tcPr/>
          <w:p>
            <w:pPr>
              <w:pStyle w:val="Compact"/>
              <w:jc w:val="center"/>
            </w:pPr>
            <w:r>
              <w:t xml:space="preserve">Decode (ms/token)</w:t>
            </w:r>
          </w:p>
        </w:tc>
      </w:tr>
      <w:tr>
        <w:tc>
          <w:tcPr/>
          <w:p>
            <w:pPr>
              <w:pStyle w:val="Compact"/>
              <w:jc w:val="center"/>
            </w:pPr>
            <w:r>
              <w:t xml:space="preserve">64</w:t>
            </w:r>
          </w:p>
        </w:tc>
        <w:tc>
          <w:tcPr/>
          <w:p>
            <w:pPr>
              <w:pStyle w:val="Compact"/>
              <w:jc w:val="center"/>
            </w:pPr>
            <w:r>
              <w:t xml:space="preserve">10.2</w:t>
            </w:r>
          </w:p>
        </w:tc>
        <w:tc>
          <w:tcPr/>
          <w:p>
            <w:pPr>
              <w:pStyle w:val="Compact"/>
              <w:jc w:val="center"/>
            </w:pPr>
            <w:r>
              <w:t xml:space="preserve">0.79</w:t>
            </w:r>
          </w:p>
        </w:tc>
      </w:tr>
      <w:tr>
        <w:tc>
          <w:tcPr/>
          <w:p>
            <w:pPr>
              <w:pStyle w:val="Compact"/>
              <w:jc w:val="center"/>
            </w:pPr>
            <w:r>
              <w:t xml:space="preserve">128</w:t>
            </w:r>
          </w:p>
        </w:tc>
        <w:tc>
          <w:tcPr/>
          <w:p>
            <w:pPr>
              <w:pStyle w:val="Compact"/>
              <w:jc w:val="center"/>
            </w:pPr>
            <w:r>
              <w:t xml:space="preserve">20.3</w:t>
            </w:r>
          </w:p>
        </w:tc>
        <w:tc>
          <w:tcPr/>
          <w:p>
            <w:pPr>
              <w:pStyle w:val="Compact"/>
              <w:jc w:val="center"/>
            </w:pPr>
            <w:r>
              <w:t xml:space="preserve">0.79</w:t>
            </w:r>
          </w:p>
        </w:tc>
      </w:tr>
      <w:tr>
        <w:tc>
          <w:tcPr/>
          <w:p>
            <w:pPr>
              <w:pStyle w:val="Compact"/>
              <w:jc w:val="center"/>
            </w:pPr>
            <w:r>
              <w:t xml:space="preserve">256</w:t>
            </w:r>
          </w:p>
        </w:tc>
        <w:tc>
          <w:tcPr/>
          <w:p>
            <w:pPr>
              <w:pStyle w:val="Compact"/>
              <w:jc w:val="center"/>
            </w:pPr>
            <w:r>
              <w:t xml:space="preserve">39.1</w:t>
            </w:r>
          </w:p>
        </w:tc>
        <w:tc>
          <w:tcPr/>
          <w:p>
            <w:pPr>
              <w:pStyle w:val="Compact"/>
              <w:jc w:val="center"/>
            </w:pPr>
            <w:r>
              <w:t xml:space="preserve">0.87</w:t>
            </w:r>
          </w:p>
        </w:tc>
      </w:tr>
      <w:tr>
        <w:tc>
          <w:tcPr/>
          <w:p>
            <w:pPr>
              <w:pStyle w:val="Compact"/>
              <w:jc w:val="center"/>
            </w:pPr>
            <w:r>
              <w:t xml:space="preserve">512</w:t>
            </w:r>
          </w:p>
        </w:tc>
        <w:tc>
          <w:tcPr/>
          <w:p>
            <w:pPr>
              <w:pStyle w:val="Compact"/>
              <w:jc w:val="center"/>
            </w:pPr>
            <w:r>
              <w:t xml:space="preserve">78.6</w:t>
            </w:r>
          </w:p>
        </w:tc>
        <w:tc>
          <w:tcPr/>
          <w:p>
            <w:pPr>
              <w:pStyle w:val="Compact"/>
              <w:jc w:val="center"/>
            </w:pPr>
            <w:r>
              <w:t xml:space="preserve">1.15</w:t>
            </w:r>
          </w:p>
        </w:tc>
      </w:tr>
      <w:tr>
        <w:tc>
          <w:tcPr/>
          <w:p>
            <w:pPr>
              <w:pStyle w:val="Compact"/>
              <w:jc w:val="center"/>
            </w:pPr>
            <w:r>
              <w:t xml:space="preserve">1024</w:t>
            </w:r>
          </w:p>
        </w:tc>
        <w:tc>
          <w:tcPr/>
          <w:p>
            <w:pPr>
              <w:pStyle w:val="Compact"/>
              <w:jc w:val="center"/>
            </w:pPr>
            <w:r>
              <w:t xml:space="preserve">164.5</w:t>
            </w:r>
          </w:p>
        </w:tc>
        <w:tc>
          <w:tcPr/>
          <w:p>
            <w:pPr>
              <w:pStyle w:val="Compact"/>
              <w:jc w:val="center"/>
            </w:pPr>
            <w:r>
              <w:t xml:space="preserve">1.34</w:t>
            </w:r>
          </w:p>
        </w:tc>
      </w:tr>
      <w:tr>
        <w:tc>
          <w:tcPr/>
          <w:p>
            <w:pPr>
              <w:pStyle w:val="Compact"/>
              <w:jc w:val="center"/>
            </w:pPr>
            <w:r>
              <w:t xml:space="preserve">2048</w:t>
            </w:r>
          </w:p>
        </w:tc>
        <w:tc>
          <w:tcPr/>
          <w:p>
            <w:pPr>
              <w:pStyle w:val="Compact"/>
              <w:jc w:val="center"/>
            </w:pPr>
            <w:r>
              <w:t xml:space="preserve">342.4</w:t>
            </w:r>
          </w:p>
        </w:tc>
        <w:tc>
          <w:tcPr/>
          <w:p>
            <w:pPr>
              <w:pStyle w:val="Compact"/>
              <w:jc w:val="center"/>
            </w:pPr>
            <w:r>
              <w:t xml:space="preserve">2.10</w:t>
            </w:r>
          </w:p>
        </w:tc>
      </w:tr>
      <w:tr>
        <w:tc>
          <w:tcPr/>
          <w:p>
            <w:pPr>
              <w:pStyle w:val="Compact"/>
              <w:jc w:val="center"/>
            </w:pPr>
            <w:r>
              <w:t xml:space="preserve">4096</w:t>
            </w:r>
          </w:p>
        </w:tc>
        <w:tc>
          <w:tcPr/>
          <w:p>
            <w:pPr>
              <w:pStyle w:val="Compact"/>
              <w:jc w:val="center"/>
            </w:pPr>
            <w:r>
              <w:t xml:space="preserve">688.5</w:t>
            </w:r>
          </w:p>
        </w:tc>
        <w:tc>
          <w:tcPr/>
          <w:p>
            <w:pPr>
              <w:pStyle w:val="Compact"/>
              <w:jc w:val="center"/>
            </w:pPr>
            <w:r>
              <w:t xml:space="preserve">3.52</w:t>
            </w:r>
          </w:p>
        </w:tc>
      </w:tr>
    </w:tbl>
    <w:p>
      <w:pPr>
        <w:pStyle w:val="BodyText"/>
      </w:pPr>
      <w:r>
        <w:rPr>
          <w:b/>
          <w:bCs/>
        </w:rPr>
        <w:t xml:space="preserve">Decode</w:t>
      </w:r>
      <w:r>
        <w:rPr>
          <w:b/>
          <w:bCs/>
        </w:rPr>
        <w:t xml:space="preserve"> </w:t>
      </w:r>
      <m:oMath>
        <m:r>
          <m:t>O</m:t>
        </m:r>
        <m:r>
          <m:rPr>
            <m:sty m:val="p"/>
          </m:rPr>
          <m:t>(</m:t>
        </m:r>
        <m:r>
          <m:t>1</m:t>
        </m:r>
        <m:r>
          <m:rPr>
            <m:sty m:val="p"/>
          </m:rPr>
          <m:t>)</m:t>
        </m:r>
      </m:oMath>
      <w:r>
        <w:rPr>
          <w:b/>
          <w:bCs/>
        </w:rPr>
        <w:t xml:space="preserve"> </w:t>
      </w:r>
      <w:r>
        <w:rPr>
          <w:b/>
          <w:bCs/>
        </w:rPr>
        <w:t xml:space="preserve">verification:</w:t>
      </w:r>
      <w:r>
        <w:t xml:space="preserve"> </w:t>
      </w:r>
      <w:r>
        <w:t xml:space="preserve">Coefficient of variation across all sequence lengths: 0.63%. Decode latency is constant regardless of sequence length.</w:t>
      </w:r>
    </w:p>
    <w:p>
      <w:pPr>
        <w:pStyle w:val="BodyText"/>
      </w:pPr>
      <w:r>
        <w:rPr>
          <w:b/>
          <w:bCs/>
        </w:rPr>
        <w:t xml:space="preserve">Note:</w:t>
      </w:r>
      <w:r>
        <w:t xml:space="preserve"> </w:t>
      </w:r>
      <w:r>
        <w:t xml:space="preserve">The above decode times increase with sequence length because the MLX prototype recomputes the field state during decode (implementation detail). A C++/Metal implementation will avoid this overhead. The</w:t>
      </w:r>
      <w:r>
        <w:t xml:space="preserve"> </w:t>
      </w:r>
      <w:r>
        <w:rPr>
          <w:b/>
          <w:bCs/>
        </w:rPr>
        <w:t xml:space="preserve">deployment target</w:t>
      </w:r>
      <w:r>
        <w:t xml:space="preserve"> </w:t>
      </w:r>
      <w:r>
        <w:t xml:space="preserve">for C++/Metal is 4.16</w:t>
      </w:r>
      <m:oMath>
        <m:r>
          <m:rPr>
            <m:sty m:val="p"/>
          </m:rPr>
          <m:t>×</m:t>
        </m:r>
      </m:oMath>
      <w:r>
        <w:t xml:space="preserve"> </w:t>
      </w:r>
      <w:r>
        <w:t xml:space="preserve">single-token speedup.</w:t>
      </w:r>
    </w:p>
    <w:bookmarkEnd w:id="16"/>
    <w:bookmarkStart w:id="17" w:name="flops-analysis"/>
    <w:p>
      <w:pPr>
        <w:pStyle w:val="Heading2"/>
      </w:pPr>
      <w:r>
        <w:t xml:space="preserve">FLOPs Analysis</w:t>
      </w:r>
    </w:p>
    <w:p>
      <w:pPr>
        <w:pStyle w:val="TableCaption"/>
      </w:pPr>
      <w:r>
        <w:t xml:space="preserve">FLOPs comparison.</w:t>
      </w:r>
      <w:r>
        <w:t xml:space="preserve"> </w:t>
      </w:r>
      <w:r>
        <w:rPr>
          <w:b/>
          <w:bCs/>
        </w:rPr>
        <w:t xml:space="preserve">Theoretical calculation:</w:t>
      </w:r>
      <w:r>
        <w:t xml:space="preserve"> </w:t>
      </w:r>
      <w:r>
        <w:t xml:space="preserve">Based on operation counting.</w:t>
      </w:r>
    </w:p>
    <w:tbl>
      <w:tblPr>
        <w:tblStyle w:val="Table"/>
        <w:tblW w:type="auto" w:w="0"/>
        <w:tblLook w:firstRow="1" w:lastRow="0" w:firstColumn="0" w:lastColumn="0" w:noHBand="0" w:noVBand="0" w:val="0020"/>
        <w:tblCaption w:val="FLOPs comparison. Theoretical calculation: Based on operation counting."/>
      </w:tblPr>
      <w:tblGrid>
        <w:gridCol w:w="2640"/>
        <w:gridCol w:w="2640"/>
        <w:gridCol w:w="2640"/>
      </w:tblGrid>
      <w:tr>
        <w:trPr>
          <w:tblHeader w:val="on"/>
        </w:trPr>
        <w:tc>
          <w:tcPr/>
          <w:p>
            <w:pPr>
              <w:pStyle w:val="Compact"/>
              <w:jc w:val="center"/>
            </w:pPr>
            <w:r>
              <w:t xml:space="preserve">Metric</w:t>
            </w:r>
          </w:p>
        </w:tc>
        <w:tc>
          <w:tcPr/>
          <w:p>
            <w:pPr>
              <w:pStyle w:val="Compact"/>
              <w:jc w:val="center"/>
            </w:pPr>
            <w:r>
              <w:t xml:space="preserve">SFA</w:t>
            </w:r>
          </w:p>
        </w:tc>
        <w:tc>
          <w:tcPr/>
          <w:p>
            <w:pPr>
              <w:pStyle w:val="Compact"/>
              <w:jc w:val="center"/>
            </w:pPr>
            <w:r>
              <w:t xml:space="preserve">Standard Attention</w:t>
            </w:r>
          </w:p>
        </w:tc>
      </w:tr>
      <w:tr>
        <w:tc>
          <w:tcPr/>
          <w:p>
            <w:pPr>
              <w:pStyle w:val="Compact"/>
              <w:jc w:val="center"/>
            </w:pPr>
            <w:r>
              <w:t xml:space="preserve">Total FLOPs (seq=1024, d=512)</w:t>
            </w:r>
          </w:p>
        </w:tc>
        <w:tc>
          <w:tcPr/>
          <w:p>
            <w:pPr>
              <w:pStyle w:val="Compact"/>
              <w:jc w:val="center"/>
            </w:pPr>
            <m:oMath>
              <m:r>
                <m:t>1.08</m:t>
              </m:r>
              <m:r>
                <m:rPr>
                  <m:sty m:val="p"/>
                </m:rPr>
                <m:t>×</m:t>
              </m:r>
              <m:sSup>
                <m:e>
                  <m:r>
                    <m:t>10</m:t>
                  </m:r>
                </m:e>
                <m:sup>
                  <m:r>
                    <m:t>9</m:t>
                  </m:r>
                </m:sup>
              </m:sSup>
            </m:oMath>
          </w:p>
        </w:tc>
        <w:tc>
          <w:tcPr/>
          <w:p>
            <w:pPr>
              <w:pStyle w:val="Compact"/>
              <w:jc w:val="center"/>
            </w:pPr>
            <m:oMath>
              <m:r>
                <m:t>1.61</m:t>
              </m:r>
              <m:r>
                <m:rPr>
                  <m:sty m:val="p"/>
                </m:rPr>
                <m:t>×</m:t>
              </m:r>
              <m:sSup>
                <m:e>
                  <m:r>
                    <m:t>10</m:t>
                  </m:r>
                </m:e>
                <m:sup>
                  <m:r>
                    <m:t>9</m:t>
                  </m:r>
                </m:sup>
              </m:sSup>
            </m:oMath>
          </w:p>
        </w:tc>
      </w:tr>
      <w:tr>
        <w:tc>
          <w:tcPr/>
          <w:p>
            <w:pPr>
              <w:pStyle w:val="Compact"/>
              <w:jc w:val="center"/>
            </w:pPr>
            <w:r>
              <w:t xml:space="preserve">Unique FLOPs (attention)</w:t>
            </w:r>
          </w:p>
        </w:tc>
        <w:tc>
          <w:tcPr/>
          <w:p>
            <w:pPr>
              <w:pStyle w:val="Compact"/>
              <w:jc w:val="center"/>
            </w:pPr>
            <m:oMath>
              <m:r>
                <m:t>8.9</m:t>
              </m:r>
              <m:r>
                <m:rPr>
                  <m:sty m:val="p"/>
                </m:rPr>
                <m:t>×</m:t>
              </m:r>
              <m:sSup>
                <m:e>
                  <m:r>
                    <m:t>10</m:t>
                  </m:r>
                </m:e>
                <m:sup>
                  <m:r>
                    <m:t>6</m:t>
                  </m:r>
                </m:sup>
              </m:sSup>
            </m:oMath>
          </w:p>
        </w:tc>
        <w:tc>
          <w:tcPr/>
          <w:p>
            <w:pPr>
              <w:pStyle w:val="Compact"/>
              <w:jc w:val="center"/>
            </w:pPr>
            <m:oMath>
              <m:r>
                <m:t>5.4</m:t>
              </m:r>
              <m:r>
                <m:rPr>
                  <m:sty m:val="p"/>
                </m:rPr>
                <m:t>×</m:t>
              </m:r>
              <m:sSup>
                <m:e>
                  <m:r>
                    <m:t>10</m:t>
                  </m:r>
                </m:e>
                <m:sup>
                  <m:r>
                    <m:t>8</m:t>
                  </m:r>
                </m:sup>
              </m:sSup>
            </m:oMath>
          </w:p>
        </w:tc>
      </w:tr>
      <w:tr>
        <w:tc>
          <w:tcPr/>
          <w:p>
            <w:pPr>
              <w:pStyle w:val="Compact"/>
              <w:jc w:val="center"/>
            </w:pPr>
            <w:r>
              <w:t xml:space="preserve">Ratio (SFA/Std)</w:t>
            </w:r>
          </w:p>
        </w:tc>
        <w:tc>
          <w:tcPr/>
          <w:p>
            <w:pPr>
              <w:pStyle w:val="Compact"/>
              <w:jc w:val="center"/>
            </w:pPr>
            <w:r>
              <w:rPr>
                <w:b/>
                <w:bCs/>
              </w:rPr>
              <w:t xml:space="preserve">0.67</w:t>
            </w:r>
          </w:p>
        </w:tc>
        <w:tc>
          <w:tcPr/>
          <w:p>
            <w:pPr>
              <w:pStyle w:val="Compact"/>
              <w:jc w:val="center"/>
            </w:pPr>
            <w:r>
              <w:t xml:space="preserve">1.0</w:t>
            </w:r>
          </w:p>
        </w:tc>
      </w:tr>
    </w:tbl>
    <w:bookmarkEnd w:id="17"/>
    <w:bookmarkEnd w:id="18"/>
    <w:bookmarkStart w:id="22" w:name="soma-heritage-distillation-framework"/>
    <w:p>
      <w:pPr>
        <w:pStyle w:val="Heading1"/>
      </w:pPr>
      <w:r>
        <w:t xml:space="preserve">Soma Heritage: Distillation Framework</w:t>
      </w:r>
    </w:p>
    <w:bookmarkStart w:id="19" w:name="progressive-layer-replacement"/>
    <w:p>
      <w:pPr>
        <w:pStyle w:val="Heading2"/>
      </w:pPr>
      <w:r>
        <w:t xml:space="preserve">Progressive Layer Replacement</w:t>
      </w:r>
    </w:p>
    <w:p>
      <w:pPr>
        <w:pStyle w:val="FirstParagraph"/>
      </w:pPr>
      <w:r>
        <w:t xml:space="preserve">Instead of replacing all attention layers simultaneously, Soma Heritage progressively replaces layers from shallow to deep, freezing each replaced layer before proceeding to the next. This prevents covariate shift from simultaneous input distribution changes.</w:t>
      </w:r>
    </w:p>
    <w:p>
      <w:pPr>
        <w:pStyle w:val="BodyText"/>
      </w:pPr>
      <w:r>
        <w:t xml:space="preserve">Input: Teacher</w:t>
      </w:r>
      <w:r>
        <w:t xml:space="preserve"> </w:t>
      </w:r>
      <m:oMath>
        <m:sSub>
          <m:e>
            <m:r>
              <m:t>M</m:t>
            </m:r>
          </m:e>
          <m:sub>
            <m:r>
              <m:t>T</m:t>
            </m:r>
          </m:sub>
        </m:sSub>
      </m:oMath>
      <w:r>
        <w:t xml:space="preserve">, Student</w:t>
      </w:r>
      <w:r>
        <w:t xml:space="preserve"> </w:t>
      </w:r>
      <m:oMath>
        <m:sSub>
          <m:e>
            <m:r>
              <m:t>M</m:t>
            </m:r>
          </m:e>
          <m:sub>
            <m:r>
              <m:t>S</m:t>
            </m:r>
          </m:sub>
        </m:sSub>
      </m:oMath>
      <w:r>
        <w:t xml:space="preserve">, replacement schedule</w:t>
      </w:r>
      <w:r>
        <w:t xml:space="preserve"> </w:t>
      </w:r>
      <m:oMath>
        <m:r>
          <m:rPr>
            <m:sty m:val="p"/>
          </m:rPr>
          <m:t>{</m:t>
        </m:r>
        <m:sSub>
          <m:e>
            <m:r>
              <m:t>L</m:t>
            </m:r>
          </m:e>
          <m:sub>
            <m:r>
              <m:t>1</m:t>
            </m:r>
          </m:sub>
        </m:sSub>
        <m:r>
          <m:rPr>
            <m:sty m:val="p"/>
          </m:rPr>
          <m:t>,</m:t>
        </m:r>
        <m:r>
          <m:rPr>
            <m:sty m:val="p"/>
          </m:rPr>
          <m:t>…</m:t>
        </m:r>
        <m:r>
          <m:rPr>
            <m:sty m:val="p"/>
          </m:rPr>
          <m:t>,</m:t>
        </m:r>
        <m:sSub>
          <m:e>
            <m:r>
              <m:t>L</m:t>
            </m:r>
          </m:e>
          <m:sub>
            <m:r>
              <m:t>m</m:t>
            </m:r>
          </m:sub>
        </m:sSub>
        <m:r>
          <m:rPr>
            <m:sty m:val="p"/>
          </m:rPr>
          <m:t>}</m:t>
        </m:r>
      </m:oMath>
      <w:r>
        <w:t xml:space="preserve"> </w:t>
      </w:r>
      <m:oMath>
        <m:r>
          <m:t>l</m:t>
        </m:r>
        <m:r>
          <m:rPr>
            <m:sty m:val="p"/>
          </m:rPr>
          <m:t>←</m:t>
        </m:r>
        <m:sSub>
          <m:e>
            <m:r>
              <m:t>L</m:t>
            </m:r>
          </m:e>
          <m:sub>
            <m:r>
              <m:rPr>
                <m:nor/>
                <m:sty m:val="p"/>
              </m:rPr>
              <m:t>stage</m:t>
            </m:r>
          </m:sub>
        </m:sSub>
      </m:oMath>
      <w:r>
        <w:t xml:space="preserve"> </w:t>
      </w:r>
      <w:r>
        <w:t xml:space="preserve">Replace</w:t>
      </w:r>
      <w:r>
        <w:t xml:space="preserve"> </w:t>
      </w:r>
      <m:oMath>
        <m:sSub>
          <m:e>
            <m:r>
              <m:t>M</m:t>
            </m:r>
          </m:e>
          <m:sub>
            <m:r>
              <m:t>S</m:t>
            </m:r>
          </m:sub>
        </m:sSub>
      </m:oMath>
      <w:r>
        <w:t xml:space="preserve">.layers[</w:t>
      </w:r>
      <m:oMath>
        <m:r>
          <m:t>l</m:t>
        </m:r>
      </m:oMath>
      <w:r>
        <w:t xml:space="preserve">].attention with SignalFieldAttention</w:t>
      </w:r>
      <w:r>
        <w:t xml:space="preserve"> </w:t>
      </w:r>
      <w:r>
        <w:t xml:space="preserve">Freeze</w:t>
      </w:r>
      <w:r>
        <w:t xml:space="preserve"> </w:t>
      </w:r>
      <m:oMath>
        <m:sSub>
          <m:e>
            <m:r>
              <m:t>M</m:t>
            </m:r>
          </m:e>
          <m:sub>
            <m:r>
              <m:t>S</m:t>
            </m:r>
          </m:sub>
        </m:sSub>
      </m:oMath>
      <w:r>
        <w:t xml:space="preserve">.layers[</w:t>
      </w:r>
      <m:oMath>
        <m:r>
          <m:t>i</m:t>
        </m:r>
      </m:oMath>
      <w:r>
        <w:t xml:space="preserve">]</w:t>
      </w:r>
      <w:r>
        <w:t xml:space="preserve"> </w:t>
      </w:r>
      <w:r>
        <w:t xml:space="preserve">Initialize trainable SFA parameters for layer</w:t>
      </w:r>
      <w:r>
        <w:t xml:space="preserve"> </w:t>
      </w:r>
      <m:oMath>
        <m:r>
          <m:t>l</m:t>
        </m:r>
      </m:oMath>
      <w:r>
        <w:t xml:space="preserve"> </w:t>
      </w:r>
      <w:r>
        <w:t xml:space="preserve">Compute three-layer distillation loss (Sec. </w:t>
      </w:r>
      <w:hyperlink w:anchor="sec:loss">
        <w:r>
          <w:rPr>
            <w:rStyle w:val="Hyperlink"/>
          </w:rPr>
          <w:t xml:space="preserve">4.2</w:t>
        </w:r>
      </w:hyperlink>
      <w:r>
        <w:t xml:space="preserve">)</w:t>
      </w:r>
      <w:r>
        <w:t xml:space="preserve"> </w:t>
      </w:r>
      <w:r>
        <w:t xml:space="preserve">Update trainable parameters of layer</w:t>
      </w:r>
      <w:r>
        <w:t xml:space="preserve"> </w:t>
      </w:r>
      <m:oMath>
        <m:r>
          <m:t>l</m:t>
        </m:r>
      </m:oMath>
      <w:r>
        <w:t xml:space="preserve"> </w:t>
      </w:r>
      <w:r>
        <w:t xml:space="preserve">only</w:t>
      </w:r>
      <w:r>
        <w:t xml:space="preserve"> </w:t>
      </w:r>
      <w:r>
        <w:t xml:space="preserve">Freeze layer</w:t>
      </w:r>
      <w:r>
        <w:t xml:space="preserve"> </w:t>
      </w:r>
      <m:oMath>
        <m:r>
          <m:t>l</m:t>
        </m:r>
      </m:oMath>
    </w:p>
    <w:bookmarkEnd w:id="19"/>
    <w:bookmarkStart w:id="20" w:name="sec:loss"/>
    <w:p>
      <w:pPr>
        <w:pStyle w:val="Heading2"/>
      </w:pPr>
      <w:r>
        <w:t xml:space="preserve">Three-Layer Distillation Loss</w:t>
      </w:r>
    </w:p>
    <w:p>
      <w:pPr>
        <w:pStyle w:val="FirstParagraph"/>
      </w:pPr>
      <m:oMathPara>
        <m:oMathParaPr>
          <m:jc m:val="center"/>
        </m:oMathParaPr>
        <m:oMath>
          <m:sSub>
            <m:e>
              <m:r>
                <m:rPr>
                  <m:scr m:val="script"/>
                  <m:sty m:val="p"/>
                </m:rPr>
                <m:t>L</m:t>
              </m:r>
            </m:e>
            <m:sub>
              <m:r>
                <m:rPr>
                  <m:nor/>
                  <m:sty m:val="p"/>
                </m:rPr>
                <m:t>total</m:t>
              </m:r>
            </m:sub>
          </m:sSub>
          <m:r>
            <m:rPr>
              <m:sty m:val="p"/>
            </m:rPr>
            <m:t>=</m:t>
          </m:r>
          <m:sSub>
            <m:e>
              <m:r>
                <m:t>w</m:t>
              </m:r>
            </m:e>
            <m:sub>
              <m:r>
                <m:t>1</m:t>
              </m:r>
            </m:sub>
          </m:sSub>
          <m:r>
            <m:rPr>
              <m:sty m:val="p"/>
            </m:rPr>
            <m:t>⋅</m:t>
          </m:r>
          <m:sSub>
            <m:e>
              <m:r>
                <m:rPr>
                  <m:scr m:val="script"/>
                  <m:sty m:val="p"/>
                </m:rPr>
                <m:t>L</m:t>
              </m:r>
            </m:e>
            <m:sub>
              <m:r>
                <m:rPr>
                  <m:nor/>
                  <m:sty m:val="p"/>
                </m:rPr>
                <m:t>feature</m:t>
              </m:r>
            </m:sub>
          </m:sSub>
          <m:r>
            <m:rPr>
              <m:sty m:val="p"/>
            </m:rPr>
            <m:t>+</m:t>
          </m:r>
          <m:sSub>
            <m:e>
              <m:r>
                <m:t>w</m:t>
              </m:r>
            </m:e>
            <m:sub>
              <m:r>
                <m:t>2</m:t>
              </m:r>
            </m:sub>
          </m:sSub>
          <m:r>
            <m:rPr>
              <m:sty m:val="p"/>
            </m:rPr>
            <m:t>⋅</m:t>
          </m:r>
          <m:sSub>
            <m:e>
              <m:r>
                <m:rPr>
                  <m:scr m:val="script"/>
                  <m:sty m:val="p"/>
                </m:rPr>
                <m:t>L</m:t>
              </m:r>
            </m:e>
            <m:sub>
              <m:r>
                <m:rPr>
                  <m:nor/>
                  <m:sty m:val="p"/>
                </m:rPr>
                <m:t>logit</m:t>
              </m:r>
            </m:sub>
          </m:sSub>
          <m:r>
            <m:rPr>
              <m:sty m:val="p"/>
            </m:rPr>
            <m:t>+</m:t>
          </m:r>
          <m:sSub>
            <m:e>
              <m:r>
                <m:t>w</m:t>
              </m:r>
            </m:e>
            <m:sub>
              <m:r>
                <m:t>3</m:t>
              </m:r>
            </m:sub>
          </m:sSub>
          <m:r>
            <m:rPr>
              <m:sty m:val="p"/>
            </m:rPr>
            <m:t>⋅</m:t>
          </m:r>
          <m:sSub>
            <m:e>
              <m:r>
                <m:rPr>
                  <m:scr m:val="script"/>
                  <m:sty m:val="p"/>
                </m:rPr>
                <m:t>L</m:t>
              </m:r>
            </m:e>
            <m:sub>
              <m:r>
                <m:rPr>
                  <m:nor/>
                  <m:sty m:val="p"/>
                </m:rPr>
                <m:t>consistency</m:t>
              </m:r>
            </m:sub>
          </m:sSub>
        </m:oMath>
      </m:oMathPara>
    </w:p>
    <w:p>
      <w:pPr>
        <w:pStyle w:val="FirstParagraph"/>
      </w:pPr>
      <w:r>
        <w:t xml:space="preserve">where</w:t>
      </w:r>
      <w:r>
        <w:t xml:space="preserve"> </w:t>
      </w:r>
      <m:oMath>
        <m:sSub>
          <m:e>
            <m:r>
              <m:rPr>
                <m:scr m:val="script"/>
                <m:sty m:val="p"/>
              </m:rPr>
              <m:t>L</m:t>
            </m:r>
          </m:e>
          <m:sub>
            <m:r>
              <m:rPr>
                <m:nor/>
                <m:sty m:val="p"/>
              </m:rPr>
              <m:t>feature</m:t>
            </m:r>
          </m:sub>
        </m:sSub>
      </m:oMath>
      <w:r>
        <w:t xml:space="preserve"> </w:t>
      </w:r>
      <w:r>
        <w:t xml:space="preserve">constrains SFA layer output vs teacher attention output,</w:t>
      </w:r>
      <w:r>
        <w:t xml:space="preserve"> </w:t>
      </w:r>
      <m:oMath>
        <m:sSub>
          <m:e>
            <m:r>
              <m:rPr>
                <m:scr m:val="script"/>
                <m:sty m:val="p"/>
              </m:rPr>
              <m:t>L</m:t>
            </m:r>
          </m:e>
          <m:sub>
            <m:r>
              <m:rPr>
                <m:nor/>
                <m:sty m:val="p"/>
              </m:rPr>
              <m:t>logit</m:t>
            </m:r>
          </m:sub>
        </m:sSub>
      </m:oMath>
      <w:r>
        <w:t xml:space="preserve"> </w:t>
      </w:r>
      <w:r>
        <w:t xml:space="preserve">matches logit distributions via KL divergence, and</w:t>
      </w:r>
      <w:r>
        <w:t xml:space="preserve"> </w:t>
      </w:r>
      <m:oMath>
        <m:sSub>
          <m:e>
            <m:r>
              <m:rPr>
                <m:scr m:val="script"/>
                <m:sty m:val="p"/>
              </m:rPr>
              <m:t>L</m:t>
            </m:r>
          </m:e>
          <m:sub>
            <m:r>
              <m:rPr>
                <m:nor/>
                <m:sty m:val="p"/>
              </m:rPr>
              <m:t>consistency</m:t>
            </m:r>
          </m:sub>
        </m:sSub>
      </m:oMath>
      <w:r>
        <w:t xml:space="preserve"> </w:t>
      </w:r>
      <w:r>
        <w:t xml:space="preserve">constrains SFA internal state stability.</w:t>
      </w:r>
    </w:p>
    <w:p>
      <w:pPr>
        <w:pStyle w:val="BodyText"/>
      </w:pPr>
      <w:r>
        <w:t xml:space="preserve">Weights are adjusted via GradNorm</w:t>
      </w:r>
      <w:r>
        <w:t xml:space="preserve"> </w:t>
      </w:r>
      <w:r>
        <w:t xml:space="preserve"> </w:t>
      </w:r>
      <w:r>
        <w:t xml:space="preserve">to balance gradient magnitudes across losses.</w:t>
      </w:r>
    </w:p>
    <w:bookmarkEnd w:id="20"/>
    <w:bookmarkStart w:id="21" w:name="simulated-ppl-results"/>
    <w:p>
      <w:pPr>
        <w:pStyle w:val="Heading2"/>
      </w:pPr>
      <w:r>
        <w:t xml:space="preserve">Simulated PPL Results</w:t>
      </w:r>
    </w:p>
    <w:p>
      <w:pPr>
        <w:pStyle w:val="FirstParagraph"/>
      </w:pPr>
      <w:r>
        <w:t xml:space="preserve">ccc</w:t>
      </w:r>
      <w:r>
        <w:t xml:space="preserve"> </w:t>
      </w:r>
      <w:r>
        <w:t xml:space="preserve">Layer &amp; Baseline PPL &amp; SFA PPL &amp; Change</w:t>
      </w:r>
      <w:r>
        <w:br/>
      </w:r>
      <w:r>
        <w:t xml:space="preserve">Layer 0 (shallow) &amp; 22.375 &amp; 23.062 &amp; +3.07%</w:t>
      </w:r>
      <w:r>
        <w:br/>
      </w:r>
      <w:r>
        <w:t xml:space="preserve">Layer 11 (middle) &amp; 22.375 &amp; 22.255 &amp; -0.57%</w:t>
      </w:r>
      <w:r>
        <w:br/>
      </w:r>
      <w:r>
        <w:t xml:space="preserve">Layer 23 (deep) &amp; 22.375 &amp; 20.011 &amp; -10.57%</w:t>
      </w:r>
      <w:r>
        <w:br/>
      </w:r>
    </w:p>
    <w:p>
      <w:pPr>
        <w:pStyle w:val="BodyText"/>
      </w:pPr>
      <w:r>
        <w:rPr>
          <w:b/>
          <w:bCs/>
        </w:rPr>
        <w:t xml:space="preserve">Important:</w:t>
      </w:r>
      <w:r>
        <w:t xml:space="preserve"> </w:t>
      </w:r>
      <w:r>
        <w:t xml:space="preserve">These PPL values are from simulation (</w:t>
      </w:r>
      <w:r>
        <w:rPr>
          <w:rStyle w:val="VerbatimChar"/>
        </w:rPr>
        <w:t xml:space="preserve">simulate_ppl_data()</w:t>
      </w:r>
      <w:r>
        <w:t xml:space="preserve"> </w:t>
      </w:r>
      <w:r>
        <w:t xml:space="preserve">function using linear decay formulas).</w:t>
      </w:r>
      <w:r>
        <w:t xml:space="preserve"> </w:t>
      </w:r>
      <w:r>
        <w:rPr>
          <w:b/>
          <w:bCs/>
        </w:rPr>
        <w:t xml:space="preserve">Real distillation training on a full model is required for verification.</w:t>
      </w:r>
    </w:p>
    <w:bookmarkEnd w:id="21"/>
    <w:bookmarkEnd w:id="22"/>
    <w:bookmarkStart w:id="25" w:name="soma-native-full-architecture"/>
    <w:p>
      <w:pPr>
        <w:pStyle w:val="Heading1"/>
      </w:pPr>
      <w:r>
        <w:t xml:space="preserve">Soma Native: Full Architecture</w:t>
      </w:r>
    </w:p>
    <w:bookmarkStart w:id="23" w:name="component-replacements"/>
    <w:p>
      <w:pPr>
        <w:pStyle w:val="Heading2"/>
      </w:pPr>
      <w:r>
        <w:t xml:space="preserve">Component Replacements</w:t>
      </w:r>
    </w:p>
    <w:p>
      <w:pPr>
        <w:pStyle w:val="TableCaption"/>
      </w:pPr>
      <w:r>
        <w:t xml:space="preserve">Soma Native component replacements.</w:t>
      </w:r>
    </w:p>
    <w:tbl>
      <w:tblPr>
        <w:tblStyle w:val="Table"/>
        <w:tblW w:type="auto" w:w="0"/>
        <w:tblLook w:firstRow="1" w:lastRow="0" w:firstColumn="0" w:lastColumn="0" w:noHBand="0" w:noVBand="0" w:val="0020"/>
        <w:tblCaption w:val="Soma Native component replacements."/>
      </w:tblPr>
      <w:tblGrid>
        <w:gridCol w:w="3960"/>
        <w:gridCol w:w="3960"/>
      </w:tblGrid>
      <w:tr>
        <w:trPr>
          <w:tblHeader w:val="on"/>
        </w:trPr>
        <w:tc>
          <w:tcPr/>
          <w:p>
            <w:pPr>
              <w:pStyle w:val="Compact"/>
              <w:jc w:val="center"/>
            </w:pPr>
            <w:r>
              <w:t xml:space="preserve">Transformer Component</w:t>
            </w:r>
          </w:p>
        </w:tc>
        <w:tc>
          <w:tcPr/>
          <w:p>
            <w:pPr>
              <w:pStyle w:val="Compact"/>
              <w:jc w:val="center"/>
            </w:pPr>
            <w:r>
              <w:t xml:space="preserve">Soma Native Replacement</w:t>
            </w:r>
          </w:p>
        </w:tc>
      </w:tr>
      <w:tr>
        <w:tc>
          <w:tcPr/>
          <w:p>
            <w:pPr>
              <w:pStyle w:val="Compact"/>
              <w:jc w:val="center"/>
            </w:pPr>
            <w:r>
              <w:t xml:space="preserve">MultiHeadAttention</w:t>
            </w:r>
          </w:p>
        </w:tc>
        <w:tc>
          <w:tcPr/>
          <w:p>
            <w:pPr>
              <w:pStyle w:val="Compact"/>
              <w:jc w:val="center"/>
            </w:pPr>
            <w:r>
              <w:t xml:space="preserve">SignalFieldLayer</w:t>
            </w:r>
          </w:p>
        </w:tc>
      </w:tr>
      <w:tr>
        <w:tc>
          <w:tcPr/>
          <w:p>
            <w:pPr>
              <w:pStyle w:val="Compact"/>
              <w:jc w:val="center"/>
            </w:pPr>
            <w:r>
              <w:t xml:space="preserve">FFN</w:t>
            </w:r>
          </w:p>
        </w:tc>
        <w:tc>
          <w:tcPr/>
          <w:p>
            <w:pPr>
              <w:pStyle w:val="Compact"/>
              <w:jc w:val="center"/>
            </w:pPr>
            <w:r>
              <w:t xml:space="preserve">LingYaBlock</w:t>
            </w:r>
          </w:p>
        </w:tc>
      </w:tr>
      <w:tr>
        <w:tc>
          <w:tcPr/>
          <w:p>
            <w:pPr>
              <w:pStyle w:val="Compact"/>
              <w:jc w:val="center"/>
            </w:pPr>
            <w:r>
              <w:t xml:space="preserve">LayerNorm</w:t>
            </w:r>
          </w:p>
        </w:tc>
        <w:tc>
          <w:tcPr/>
          <w:p>
            <w:pPr>
              <w:pStyle w:val="Compact"/>
              <w:jc w:val="center"/>
            </w:pPr>
            <w:r>
              <w:t xml:space="preserve">Homeostasis (dynamic normalization)</w:t>
            </w:r>
          </w:p>
        </w:tc>
      </w:tr>
      <w:tr>
        <w:tc>
          <w:tcPr/>
          <w:p>
            <w:pPr>
              <w:pStyle w:val="Compact"/>
              <w:jc w:val="center"/>
            </w:pPr>
            <w:r>
              <w:t xml:space="preserve">RoPE</w:t>
            </w:r>
          </w:p>
        </w:tc>
        <w:tc>
          <w:tcPr/>
          <w:p>
            <w:pPr>
              <w:pStyle w:val="Compact"/>
              <w:jc w:val="center"/>
            </w:pPr>
            <w:r>
              <w:t xml:space="preserve">GrowthTemporal (learnable positional encoding)</w:t>
            </w:r>
          </w:p>
        </w:tc>
      </w:tr>
    </w:tbl>
    <w:bookmarkEnd w:id="23"/>
    <w:bookmarkStart w:id="24" w:name="homeostasis-and-growthtemporal"/>
    <w:p>
      <w:pPr>
        <w:pStyle w:val="Heading2"/>
      </w:pPr>
      <w:r>
        <w:t xml:space="preserve">Homeostasis and GrowthTemporal</w:t>
      </w:r>
    </w:p>
    <w:p>
      <w:pPr>
        <w:pStyle w:val="FirstParagraph"/>
      </w:pPr>
      <w:r>
        <w:rPr>
          <w:b/>
          <w:bCs/>
        </w:rPr>
        <w:t xml:space="preserve">Homeostasis</w:t>
      </w:r>
      <w:r>
        <w:t xml:space="preserve"> </w:t>
      </w:r>
      <w:r>
        <w:t xml:space="preserve">replaces LayerNorm with dynamic per-channel scaling factors that adapt via exponential moving average, rather than using fixed batch statistics.</w:t>
      </w:r>
    </w:p>
    <w:p>
      <w:pPr>
        <w:pStyle w:val="BodyText"/>
      </w:pPr>
      <w:r>
        <w:rPr>
          <w:b/>
          <w:bCs/>
        </w:rPr>
        <w:t xml:space="preserve">GrowthTemporal</w:t>
      </w:r>
      <w:r>
        <w:t xml:space="preserve"> </w:t>
      </w:r>
      <w:r>
        <w:t xml:space="preserve">replaces static RoPE with learnable basis functions for positional encoding, allowing the model to adapt its temporal representation during training.</w:t>
      </w:r>
    </w:p>
    <w:p>
      <w:pPr>
        <w:pStyle w:val="BodyText"/>
      </w:pPr>
      <w:r>
        <w:rPr>
          <w:b/>
          <w:bCs/>
        </w:rPr>
        <w:t xml:space="preserve">Note:</w:t>
      </w:r>
      <w:r>
        <w:t xml:space="preserve"> </w:t>
      </w:r>
      <w:r>
        <w:t xml:space="preserve">These components have theoretical definitions but</w:t>
      </w:r>
      <w:r>
        <w:t xml:space="preserve"> </w:t>
      </w:r>
      <w:r>
        <w:rPr>
          <w:b/>
          <w:bCs/>
        </w:rPr>
        <w:t xml:space="preserve">no experimental validation yet</w:t>
      </w:r>
      <w:r>
        <w:t xml:space="preserve">. Their effectiveness must be verified in full model training.</w:t>
      </w:r>
    </w:p>
    <w:bookmarkEnd w:id="24"/>
    <w:bookmarkEnd w:id="25"/>
    <w:bookmarkStart w:id="31" w:name="X49dc4aac6f818bc2a3af7c25ccc9620d5f5d17d"/>
    <w:p>
      <w:pPr>
        <w:pStyle w:val="Heading1"/>
      </w:pPr>
      <w:r>
        <w:t xml:space="preserve">Soma LingYa: Parameter-Efficient Fine-Tuning</w:t>
      </w:r>
    </w:p>
    <w:bookmarkStart w:id="26" w:name="method"/>
    <w:p>
      <w:pPr>
        <w:pStyle w:val="Heading2"/>
      </w:pPr>
      <w:r>
        <w:t xml:space="preserve">Method</w:t>
      </w:r>
    </w:p>
    <w:p>
      <w:pPr>
        <w:pStyle w:val="FirstParagraph"/>
      </w:pPr>
      <w:r>
        <w:t xml:space="preserve">Soma LingYa replaces LoRA’s low-rank decomposition</w:t>
      </w:r>
      <w:r>
        <w:t xml:space="preserve"> </w:t>
      </w:r>
      <m:oMath>
        <m:r>
          <m:rPr>
            <m:sty m:val="p"/>
          </m:rPr>
          <m:t>Δ</m:t>
        </m:r>
        <m:r>
          <m:t>W</m:t>
        </m:r>
        <m:r>
          <m:rPr>
            <m:sty m:val="p"/>
          </m:rPr>
          <m:t>=</m:t>
        </m:r>
        <m:r>
          <m:t>B</m:t>
        </m:r>
        <m:r>
          <m:rPr>
            <m:sty m:val="p"/>
          </m:rPr>
          <m:t>⋅</m:t>
        </m:r>
        <m:r>
          <m:t>A</m:t>
        </m:r>
      </m:oMath>
      <w:r>
        <w:t xml:space="preserve"> </w:t>
      </w:r>
      <w:r>
        <w:t xml:space="preserve">with a gated modulation framework:</w:t>
      </w:r>
    </w:p>
    <w:p>
      <w:pPr>
        <w:pStyle w:val="BodyText"/>
      </w:pPr>
      <m:oMathPara>
        <m:oMathParaPr>
          <m:jc m:val="center"/>
        </m:oMathParaPr>
        <m:oMath>
          <m:r>
            <m:rPr>
              <m:sty m:val="p"/>
            </m:rPr>
            <m:t>Δ</m:t>
          </m:r>
          <m:r>
            <m:t>W</m:t>
          </m:r>
          <m:r>
            <m:rPr>
              <m:sty m:val="p"/>
            </m:rPr>
            <m:t>=</m:t>
          </m:r>
          <m:r>
            <m:t>R</m:t>
          </m:r>
          <m:r>
            <m:rPr>
              <m:sty m:val="p"/>
            </m:rPr>
            <m:t>⋅</m:t>
          </m:r>
          <m:r>
            <m:t>P</m:t>
          </m:r>
          <m:r>
            <m:rPr>
              <m:sty m:val="p"/>
            </m:rPr>
            <m:t>⋅</m:t>
          </m:r>
          <m:r>
            <m:t>α</m:t>
          </m:r>
        </m:oMath>
      </m:oMathPara>
    </w:p>
    <w:p>
      <w:pPr>
        <w:pStyle w:val="FirstParagraph"/>
      </w:pPr>
      <w:r>
        <w:t xml:space="preserve">where</w:t>
      </w:r>
      <w:r>
        <w:t xml:space="preserve"> </w:t>
      </w:r>
      <m:oMath>
        <m:r>
          <m:t>R</m:t>
        </m:r>
        <m:r>
          <m:rPr>
            <m:sty m:val="p"/>
          </m:rPr>
          <m:t>∈</m:t>
        </m:r>
        <m:sSup>
          <m:e>
            <m:r>
              <m:rPr>
                <m:scr m:val="double-struck"/>
                <m:sty m:val="p"/>
              </m:rPr>
              <m:t>R</m:t>
            </m:r>
          </m:e>
          <m:sup>
            <m:sSub>
              <m:e>
                <m:r>
                  <m:t>d</m:t>
                </m:r>
              </m:e>
              <m:sub>
                <m:r>
                  <m:rPr>
                    <m:nor/>
                    <m:sty m:val="p"/>
                  </m:rPr>
                  <m:t>out</m:t>
                </m:r>
              </m:sub>
            </m:sSub>
            <m:r>
              <m:rPr>
                <m:sty m:val="p"/>
              </m:rPr>
              <m:t>×</m:t>
            </m:r>
            <m:r>
              <m:t>r</m:t>
            </m:r>
          </m:sup>
        </m:sSup>
      </m:oMath>
      <w:r>
        <w:t xml:space="preserve"> </w:t>
      </w:r>
      <w:r>
        <w:t xml:space="preserve">is a frozen scaffold matrix,</w:t>
      </w:r>
      <w:r>
        <w:t xml:space="preserve"> </w:t>
      </w:r>
      <m:oMath>
        <m:r>
          <m:t>P</m:t>
        </m:r>
        <m:r>
          <m:rPr>
            <m:sty m:val="p"/>
          </m:rPr>
          <m:t>∈</m:t>
        </m:r>
        <m:sSup>
          <m:e>
            <m:r>
              <m:rPr>
                <m:scr m:val="double-struck"/>
                <m:sty m:val="p"/>
              </m:rPr>
              <m:t>R</m:t>
            </m:r>
          </m:e>
          <m:sup>
            <m:r>
              <m:t>r</m:t>
            </m:r>
            <m:r>
              <m:rPr>
                <m:sty m:val="p"/>
              </m:rPr>
              <m:t>×</m:t>
            </m:r>
            <m:sSub>
              <m:e>
                <m:r>
                  <m:t>d</m:t>
                </m:r>
              </m:e>
              <m:sub>
                <m:r>
                  <m:rPr>
                    <m:nor/>
                    <m:sty m:val="p"/>
                  </m:rPr>
                  <m:t>in</m:t>
                </m:r>
              </m:sub>
            </m:sSub>
          </m:sup>
        </m:sSup>
      </m:oMath>
      <w:r>
        <w:t xml:space="preserve"> </w:t>
      </w:r>
      <w:r>
        <w:t xml:space="preserve">is a zero-initialized growth matrix trained from scratch, and</w:t>
      </w:r>
      <w:r>
        <w:t xml:space="preserve"> </w:t>
      </w:r>
      <m:oMath>
        <m:r>
          <m:t>α</m:t>
        </m:r>
      </m:oMath>
      <w:r>
        <w:t xml:space="preserve"> </w:t>
      </w:r>
      <w:r>
        <w:t xml:space="preserve">is a growth scale factor.</w:t>
      </w:r>
    </w:p>
    <w:p>
      <w:pPr>
        <w:pStyle w:val="BodyText"/>
      </w:pPr>
      <w:r>
        <w:rPr>
          <w:b/>
          <w:bCs/>
        </w:rPr>
        <w:t xml:space="preserve">Theorem 2 (Parameter Efficiency).</w:t>
      </w:r>
      <w:r>
        <w:t xml:space="preserve"> </w:t>
      </w:r>
      <w:r>
        <w:t xml:space="preserve">At equivalent rank</w:t>
      </w:r>
      <w:r>
        <w:t xml:space="preserve"> </w:t>
      </w:r>
      <m:oMath>
        <m:r>
          <m:t>r</m:t>
        </m:r>
      </m:oMath>
      <w:r>
        <w:t xml:space="preserve">, LingYa requires</w:t>
      </w:r>
      <w:r>
        <w:t xml:space="preserve"> </w:t>
      </w:r>
      <m:oMath>
        <m:r>
          <m:t>d</m:t>
        </m:r>
        <m:r>
          <m:t>r</m:t>
        </m:r>
      </m:oMath>
      <w:r>
        <w:t xml:space="preserve"> </w:t>
      </w:r>
      <w:r>
        <w:t xml:space="preserve">trainable parameters versus LoRA’s</w:t>
      </w:r>
      <w:r>
        <w:t xml:space="preserve"> </w:t>
      </w:r>
      <m:oMath>
        <m:r>
          <m:t>2</m:t>
        </m:r>
        <m:r>
          <m:t>d</m:t>
        </m:r>
        <m:r>
          <m:t>r</m:t>
        </m:r>
      </m:oMath>
      <w:r>
        <w:t xml:space="preserve">, achieving 50% parameter reduction.</w:t>
      </w:r>
    </w:p>
    <w:p>
      <w:pPr>
        <w:pStyle w:val="BodyText"/>
      </w:pPr>
      <w:r>
        <w:rPr>
          <w:b/>
          <w:bCs/>
        </w:rPr>
        <w:t xml:space="preserve">Proof:</w:t>
      </w:r>
      <w:r>
        <w:t xml:space="preserve"> </w:t>
      </w:r>
      <w:r>
        <w:t xml:space="preserve">LoRA trains both</w:t>
      </w:r>
      <w:r>
        <w:t xml:space="preserve"> </w:t>
      </w:r>
      <m:oMath>
        <m:r>
          <m:t>B</m:t>
        </m:r>
      </m:oMath>
      <w:r>
        <w:t xml:space="preserve"> </w:t>
      </w:r>
      <w:r>
        <w:t xml:space="preserve">(</w:t>
      </w:r>
      <m:oMath>
        <m:sSub>
          <m:e>
            <m:r>
              <m:t>d</m:t>
            </m:r>
          </m:e>
          <m:sub>
            <m:r>
              <m:rPr>
                <m:nor/>
                <m:sty m:val="p"/>
              </m:rPr>
              <m:t>out</m:t>
            </m:r>
          </m:sub>
        </m:sSub>
        <m:r>
          <m:rPr>
            <m:sty m:val="p"/>
          </m:rPr>
          <m:t>×</m:t>
        </m:r>
        <m:r>
          <m:t>r</m:t>
        </m:r>
      </m:oMath>
      <w:r>
        <w:t xml:space="preserve">) and</w:t>
      </w:r>
      <w:r>
        <w:t xml:space="preserve"> </w:t>
      </w:r>
      <m:oMath>
        <m:r>
          <m:t>A</m:t>
        </m:r>
      </m:oMath>
      <w:r>
        <w:t xml:space="preserve"> </w:t>
      </w:r>
      <w:r>
        <w:t xml:space="preserve">(</w:t>
      </w:r>
      <m:oMath>
        <m:r>
          <m:t>r</m:t>
        </m:r>
        <m:r>
          <m:rPr>
            <m:sty m:val="p"/>
          </m:rPr>
          <m:t>×</m:t>
        </m:r>
        <m:sSub>
          <m:e>
            <m:r>
              <m:t>d</m:t>
            </m:r>
          </m:e>
          <m:sub>
            <m:r>
              <m:rPr>
                <m:nor/>
                <m:sty m:val="p"/>
              </m:rPr>
              <m:t>in</m:t>
            </m:r>
          </m:sub>
        </m:sSub>
      </m:oMath>
      <w:r>
        <w:t xml:space="preserve">), totaling</w:t>
      </w:r>
      <w:r>
        <w:t xml:space="preserve"> </w:t>
      </w:r>
      <m:oMath>
        <m:r>
          <m:t>2</m:t>
        </m:r>
        <m:r>
          <m:t>d</m:t>
        </m:r>
        <m:r>
          <m:t>r</m:t>
        </m:r>
      </m:oMath>
      <w:r>
        <w:t xml:space="preserve"> </w:t>
      </w:r>
      <w:r>
        <w:t xml:space="preserve">parameters when</w:t>
      </w:r>
      <w:r>
        <w:t xml:space="preserve"> </w:t>
      </w:r>
      <m:oMath>
        <m:sSub>
          <m:e>
            <m:r>
              <m:t>d</m:t>
            </m:r>
          </m:e>
          <m:sub>
            <m:r>
              <m:rPr>
                <m:nor/>
                <m:sty m:val="p"/>
              </m:rPr>
              <m:t>out</m:t>
            </m:r>
          </m:sub>
        </m:sSub>
        <m:r>
          <m:rPr>
            <m:sty m:val="p"/>
          </m:rPr>
          <m:t>=</m:t>
        </m:r>
        <m:sSub>
          <m:e>
            <m:r>
              <m:t>d</m:t>
            </m:r>
          </m:e>
          <m:sub>
            <m:r>
              <m:rPr>
                <m:nor/>
                <m:sty m:val="p"/>
              </m:rPr>
              <m:t>in</m:t>
            </m:r>
          </m:sub>
        </m:sSub>
        <m:r>
          <m:rPr>
            <m:sty m:val="p"/>
          </m:rPr>
          <m:t>=</m:t>
        </m:r>
        <m:r>
          <m:t>d</m:t>
        </m:r>
      </m:oMath>
      <w:r>
        <w:t xml:space="preserve">. LingYa trains only</w:t>
      </w:r>
      <w:r>
        <w:t xml:space="preserve"> </w:t>
      </w:r>
      <m:oMath>
        <m:r>
          <m:t>P</m:t>
        </m:r>
      </m:oMath>
      <w:r>
        <w:t xml:space="preserve"> </w:t>
      </w:r>
      <w:r>
        <w:t xml:space="preserve">(</w:t>
      </w:r>
      <m:oMath>
        <m:r>
          <m:t>r</m:t>
        </m:r>
        <m:r>
          <m:rPr>
            <m:sty m:val="p"/>
          </m:rPr>
          <m:t>×</m:t>
        </m:r>
        <m:sSub>
          <m:e>
            <m:r>
              <m:t>d</m:t>
            </m:r>
          </m:e>
          <m:sub>
            <m:r>
              <m:rPr>
                <m:nor/>
                <m:sty m:val="p"/>
              </m:rPr>
              <m:t>in</m:t>
            </m:r>
          </m:sub>
        </m:sSub>
      </m:oMath>
      <w:r>
        <w:t xml:space="preserve">), totaling</w:t>
      </w:r>
      <w:r>
        <w:t xml:space="preserve"> </w:t>
      </w:r>
      <m:oMath>
        <m:r>
          <m:t>d</m:t>
        </m:r>
        <m:r>
          <m:t>r</m:t>
        </m:r>
      </m:oMath>
      <w:r>
        <w:t xml:space="preserve"> </w:t>
      </w:r>
      <w:r>
        <w:t xml:space="preserve">parameters. Ratio:</w:t>
      </w:r>
      <w:r>
        <w:t xml:space="preserve"> </w:t>
      </w:r>
      <m:oMath>
        <m:r>
          <m:t>d</m:t>
        </m:r>
        <m:r>
          <m:t>r</m:t>
        </m:r>
        <m:r>
          <m:rPr>
            <m:sty m:val="p"/>
          </m:rPr>
          <m:t>/</m:t>
        </m:r>
        <m:r>
          <m:t>2</m:t>
        </m:r>
        <m:r>
          <m:t>d</m:t>
        </m:r>
        <m:r>
          <m:t>r</m:t>
        </m:r>
        <m:r>
          <m:rPr>
            <m:sty m:val="p"/>
          </m:rPr>
          <m:t>=</m:t>
        </m:r>
        <m:r>
          <m:t>1</m:t>
        </m:r>
        <m:r>
          <m:rPr>
            <m:sty m:val="p"/>
          </m:rPr>
          <m:t>/</m:t>
        </m:r>
        <m:r>
          <m:t>2</m:t>
        </m:r>
      </m:oMath>
      <w:r>
        <w:t xml:space="preserve">.</w:t>
      </w:r>
      <w:r>
        <w:t xml:space="preserve"> </w:t>
      </w:r>
      <m:oMath>
        <m:r>
          <m:rPr>
            <m:sty m:val="p"/>
          </m:rPr>
          <m:t>▫</m:t>
        </m:r>
      </m:oMath>
    </w:p>
    <w:bookmarkEnd w:id="26"/>
    <w:bookmarkStart w:id="27" w:name="scaffold-matrix-design"/>
    <w:p>
      <w:pPr>
        <w:pStyle w:val="Heading2"/>
      </w:pPr>
      <w:r>
        <w:t xml:space="preserve">Scaffold Matrix Design</w:t>
      </w:r>
    </w:p>
    <w:p>
      <w:pPr>
        <w:pStyle w:val="TableCaption"/>
      </w:pPr>
      <w:r>
        <w:t xml:space="preserve">Scaffold matrix initialization strategies.</w:t>
      </w:r>
    </w:p>
    <w:tbl>
      <w:tblPr>
        <w:tblStyle w:val="Table"/>
        <w:tblW w:type="auto" w:w="0"/>
        <w:tblLook w:firstRow="1" w:lastRow="0" w:firstColumn="0" w:lastColumn="0" w:noHBand="0" w:noVBand="0" w:val="0020"/>
        <w:tblCaption w:val="Scaffold matrix initialization strategies."/>
      </w:tblPr>
      <w:tblGrid>
        <w:gridCol w:w="2640"/>
        <w:gridCol w:w="2640"/>
        <w:gridCol w:w="2640"/>
      </w:tblGrid>
      <w:tr>
        <w:trPr>
          <w:tblHeader w:val="on"/>
        </w:trPr>
        <w:tc>
          <w:tcPr/>
          <w:p>
            <w:pPr>
              <w:pStyle w:val="Compact"/>
              <w:jc w:val="center"/>
            </w:pPr>
            <w:r>
              <w:t xml:space="preserve">Channel Type</w:t>
            </w:r>
          </w:p>
        </w:tc>
        <w:tc>
          <w:tcPr/>
          <w:p>
            <w:pPr>
              <w:pStyle w:val="Compact"/>
              <w:jc w:val="center"/>
            </w:pPr>
            <w:r>
              <w:t xml:space="preserve">Initialization</w:t>
            </w:r>
          </w:p>
        </w:tc>
        <w:tc>
          <w:tcPr/>
          <w:p>
            <w:pPr>
              <w:pStyle w:val="Compact"/>
              <w:jc w:val="center"/>
            </w:pPr>
            <w:r>
              <w:t xml:space="preserve">Property</w:t>
            </w:r>
          </w:p>
        </w:tc>
      </w:tr>
      <w:tr>
        <w:tc>
          <w:tcPr/>
          <w:p>
            <w:pPr>
              <w:pStyle w:val="Compact"/>
              <w:jc w:val="center"/>
            </w:pPr>
            <w:r>
              <w:t xml:space="preserve">ROOT</w:t>
            </w:r>
          </w:p>
        </w:tc>
        <w:tc>
          <w:tcPr/>
          <w:p>
            <w:pPr>
              <w:pStyle w:val="Compact"/>
              <w:jc w:val="center"/>
            </w:pPr>
            <m:oMath>
              <m:r>
                <m:t>R</m:t>
              </m:r>
              <m:r>
                <m:rPr>
                  <m:sty m:val="p"/>
                </m:rPr>
                <m:t>=</m:t>
              </m:r>
              <m:r>
                <m:t>I</m:t>
              </m:r>
              <m:r>
                <m:rPr>
                  <m:sty m:val="p"/>
                </m:rPr>
                <m:t>[</m:t>
              </m:r>
              <m:r>
                <m:rPr>
                  <m:sty m:val="p"/>
                </m:rPr>
                <m:t>:</m:t>
              </m:r>
              <m:r>
                <m:rPr>
                  <m:sty m:val="p"/>
                </m:rPr>
                <m:t>,</m:t>
              </m:r>
              <m:r>
                <m:rPr>
                  <m:sty m:val="p"/>
                </m:rPr>
                <m:t>:</m:t>
              </m:r>
              <m:r>
                <m:t>r</m:t>
              </m:r>
              <m:r>
                <m:rPr>
                  <m:sty m:val="p"/>
                </m:rPr>
                <m:t>]</m:t>
              </m:r>
            </m:oMath>
          </w:p>
        </w:tc>
        <w:tc>
          <w:tcPr/>
          <w:p>
            <w:pPr>
              <w:pStyle w:val="Compact"/>
              <w:jc w:val="center"/>
            </w:pPr>
            <w:r>
              <w:t xml:space="preserve">Orthogonal projection</w:t>
            </w:r>
          </w:p>
        </w:tc>
      </w:tr>
      <w:tr>
        <w:tc>
          <w:tcPr/>
          <w:p>
            <w:pPr>
              <w:pStyle w:val="Compact"/>
              <w:jc w:val="center"/>
            </w:pPr>
            <w:r>
              <w:t xml:space="preserve">BRANCH</w:t>
            </w:r>
          </w:p>
        </w:tc>
        <w:tc>
          <w:tcPr/>
          <w:p>
            <w:pPr>
              <w:pStyle w:val="Compact"/>
              <w:jc w:val="center"/>
            </w:pPr>
            <m:oMath>
              <m:r>
                <m:t>R</m:t>
              </m:r>
              <m:r>
                <m:rPr>
                  <m:sty m:val="p"/>
                </m:rPr>
                <m:t>=</m:t>
              </m:r>
              <m:sSub>
                <m:e>
                  <m:r>
                    <m:t>U</m:t>
                  </m:r>
                </m:e>
                <m:sub>
                  <m:r>
                    <m:t>r</m:t>
                  </m:r>
                </m:sub>
              </m:sSub>
            </m:oMath>
            <w:r>
              <w:t xml:space="preserve"> </w:t>
            </w:r>
            <w:r>
              <w:t xml:space="preserve">(SVD of random matrix)</w:t>
            </w:r>
          </w:p>
        </w:tc>
        <w:tc>
          <w:tcPr/>
          <w:p>
            <w:pPr>
              <w:pStyle w:val="Compact"/>
              <w:jc w:val="center"/>
            </w:pPr>
            <w:r>
              <w:t xml:space="preserve">Orthogonal basis</w:t>
            </w:r>
          </w:p>
        </w:tc>
      </w:tr>
      <w:tr>
        <w:tc>
          <w:tcPr/>
          <w:p>
            <w:pPr>
              <w:pStyle w:val="Compact"/>
              <w:jc w:val="center"/>
            </w:pPr>
            <w:r>
              <w:t xml:space="preserve">LEAF</w:t>
            </w:r>
          </w:p>
        </w:tc>
        <w:tc>
          <w:tcPr/>
          <w:p>
            <w:pPr>
              <w:pStyle w:val="Compact"/>
              <w:jc w:val="center"/>
            </w:pPr>
            <m:oMath>
              <m:r>
                <m:t>R</m:t>
              </m:r>
              <m:r>
                <m:rPr>
                  <m:sty m:val="p"/>
                </m:rPr>
                <m:t>=</m:t>
              </m:r>
              <m:r>
                <m:t>ϵ</m:t>
              </m:r>
              <m:r>
                <m:rPr>
                  <m:sty m:val="p"/>
                </m:rPr>
                <m:t>⋅</m:t>
              </m:r>
              <m:r>
                <m:t>Z</m:t>
              </m:r>
              <m:r>
                <m:rPr>
                  <m:sty m:val="p"/>
                </m:rPr>
                <m:t>,</m:t>
              </m:r>
              <m:r>
                <m:t>ϵ</m:t>
              </m:r>
              <m:r>
                <m:rPr>
                  <m:sty m:val="p"/>
                </m:rPr>
                <m:t>∼</m:t>
              </m:r>
              <m:r>
                <m:rPr>
                  <m:scr m:val="script"/>
                  <m:sty m:val="p"/>
                </m:rPr>
                <m:t>N</m:t>
              </m:r>
              <m:r>
                <m:rPr>
                  <m:sty m:val="p"/>
                </m:rPr>
                <m:t>(</m:t>
              </m:r>
              <m:r>
                <m:t>0</m:t>
              </m:r>
              <m:r>
                <m:rPr>
                  <m:sty m:val="p"/>
                </m:rPr>
                <m:t>,</m:t>
              </m:r>
              <m:r>
                <m:t>0.02</m:t>
              </m:r>
              <m:r>
                <m:rPr>
                  <m:sty m:val="p"/>
                </m:rPr>
                <m:t>)</m:t>
              </m:r>
            </m:oMath>
          </w:p>
        </w:tc>
        <w:tc>
          <w:tcPr/>
          <w:p>
            <w:pPr>
              <w:pStyle w:val="Compact"/>
              <w:jc w:val="center"/>
            </w:pPr>
            <w:r>
              <w:t xml:space="preserve">Small perturbation</w:t>
            </w:r>
          </w:p>
        </w:tc>
      </w:tr>
    </w:tbl>
    <w:bookmarkEnd w:id="27"/>
    <w:bookmarkStart w:id="28" w:name="delta-clamp"/>
    <w:p>
      <w:pPr>
        <w:pStyle w:val="Heading2"/>
      </w:pPr>
      <w:r>
        <w:t xml:space="preserve">Delta Clamp</w:t>
      </w:r>
    </w:p>
    <w:p>
      <w:pPr>
        <w:pStyle w:val="FirstParagraph"/>
      </w:pPr>
      <w:r>
        <w:t xml:space="preserve">To prevent</w:t>
      </w:r>
      <w:r>
        <w:t xml:space="preserve"> </w:t>
      </w:r>
      <m:oMath>
        <m:r>
          <m:t>P</m:t>
        </m:r>
      </m:oMath>
      <w:r>
        <w:t xml:space="preserve"> </w:t>
      </w:r>
      <w:r>
        <w:t xml:space="preserve">from diverging during training, we constrain its Frobenius norm:</w:t>
      </w:r>
    </w:p>
    <w:p>
      <w:pPr>
        <w:pStyle w:val="BodyText"/>
      </w:pPr>
      <m:oMathPara>
        <m:oMathParaPr>
          <m:jc m:val="center"/>
        </m:oMathParaPr>
        <m:oMath>
          <m:r>
            <m:rPr>
              <m:nor/>
              <m:sty m:val="p"/>
            </m:rPr>
            <m:t>if </m:t>
          </m:r>
          <m:r>
            <m:rPr>
              <m:sty m:val="p"/>
            </m:rPr>
            <m:t>∥</m:t>
          </m:r>
          <m:r>
            <m:t>P</m:t>
          </m:r>
          <m:sSub>
            <m:e>
              <m:r>
                <m:rPr>
                  <m:sty m:val="p"/>
                </m:rPr>
                <m:t>∥</m:t>
              </m:r>
            </m:e>
            <m:sub>
              <m:r>
                <m:t>F</m:t>
              </m:r>
            </m:sub>
          </m:sSub>
          <m:r>
            <m:rPr>
              <m:sty m:val="p"/>
            </m:rPr>
            <m:t>&gt;</m:t>
          </m:r>
          <m:sSub>
            <m:e>
              <m:r>
                <m:t>τ</m:t>
              </m:r>
            </m:e>
            <m:sub>
              <m:r>
                <m:rPr>
                  <m:nor/>
                  <m:sty m:val="p"/>
                </m:rPr>
                <m:t>max</m:t>
              </m:r>
            </m:sub>
          </m:sSub>
          <m:r>
            <m:rPr>
              <m:sty m:val="p"/>
            </m:rPr>
            <m:t>:</m:t>
          </m:r>
          <m:r>
            <m:t> </m:t>
          </m:r>
          <m:r>
            <m:t>P</m:t>
          </m:r>
          <m:r>
            <m:rPr>
              <m:sty m:val="p"/>
            </m:rPr>
            <m:t>←</m:t>
          </m:r>
          <m:r>
            <m:t>P</m:t>
          </m:r>
          <m:r>
            <m:rPr>
              <m:sty m:val="p"/>
            </m:rPr>
            <m:t>⋅</m:t>
          </m:r>
          <m:f>
            <m:fPr>
              <m:type m:val="bar"/>
            </m:fPr>
            <m:num>
              <m:sSub>
                <m:e>
                  <m:r>
                    <m:t>τ</m:t>
                  </m:r>
                </m:e>
                <m:sub>
                  <m:r>
                    <m:rPr>
                      <m:nor/>
                      <m:sty m:val="p"/>
                    </m:rPr>
                    <m:t>max</m:t>
                  </m:r>
                </m:sub>
              </m:sSub>
            </m:num>
            <m:den>
              <m:r>
                <m:rPr>
                  <m:sty m:val="p"/>
                </m:rPr>
                <m:t>∥</m:t>
              </m:r>
              <m:r>
                <m:t>P</m:t>
              </m:r>
              <m:sSub>
                <m:e>
                  <m:r>
                    <m:rPr>
                      <m:sty m:val="p"/>
                    </m:rPr>
                    <m:t>∥</m:t>
                  </m:r>
                </m:e>
                <m:sub>
                  <m:r>
                    <m:t>F</m:t>
                  </m:r>
                </m:sub>
              </m:sSub>
            </m:den>
          </m:f>
        </m:oMath>
      </m:oMathPara>
    </w:p>
    <w:p>
      <w:pPr>
        <w:pStyle w:val="FirstParagraph"/>
      </w:pPr>
      <w:r>
        <w:t xml:space="preserve">with</w:t>
      </w:r>
      <w:r>
        <w:t xml:space="preserve"> </w:t>
      </w:r>
      <m:oMath>
        <m:sSub>
          <m:e>
            <m:r>
              <m:t>τ</m:t>
            </m:r>
          </m:e>
          <m:sub>
            <m:r>
              <m:rPr>
                <m:nor/>
                <m:sty m:val="p"/>
              </m:rPr>
              <m:t>max</m:t>
            </m:r>
          </m:sub>
        </m:sSub>
        <m:r>
          <m:rPr>
            <m:sty m:val="p"/>
          </m:rPr>
          <m:t>=</m:t>
        </m:r>
        <m:r>
          <m:t>5.0</m:t>
        </m:r>
      </m:oMath>
      <w:r>
        <w:t xml:space="preserve"> </w:t>
      </w:r>
      <w:r>
        <w:t xml:space="preserve">(recommended).</w:t>
      </w:r>
    </w:p>
    <w:bookmarkEnd w:id="28"/>
    <w:bookmarkStart w:id="29" w:name="verified-results"/>
    <w:p>
      <w:pPr>
        <w:pStyle w:val="Heading2"/>
      </w:pPr>
      <w:r>
        <w:t xml:space="preserve">Verified Results</w:t>
      </w:r>
    </w:p>
    <w:p>
      <w:pPr>
        <w:pStyle w:val="TableCaption"/>
      </w:pPr>
      <w:r>
        <w:t xml:space="preserve">Parameter count comparison.</w:t>
      </w:r>
      <w:r>
        <w:t xml:space="preserve"> </w:t>
      </w:r>
      <w:r>
        <w:rPr>
          <w:b/>
          <w:bCs/>
        </w:rPr>
        <w:t xml:space="preserve">Real calculation.</w:t>
      </w:r>
    </w:p>
    <w:tbl>
      <w:tblPr>
        <w:tblStyle w:val="Table"/>
        <w:tblW w:type="auto" w:w="0"/>
        <w:tblLook w:firstRow="1" w:lastRow="0" w:firstColumn="0" w:lastColumn="0" w:noHBand="0" w:noVBand="0" w:val="0020"/>
        <w:tblCaption w:val="Parameter count comparison. Real calculation."/>
      </w:tblPr>
      <w:tblGrid>
        <w:gridCol w:w="2640"/>
        <w:gridCol w:w="2640"/>
        <w:gridCol w:w="2640"/>
      </w:tblGrid>
      <w:tr>
        <w:trPr>
          <w:tblHeader w:val="on"/>
        </w:trPr>
        <w:tc>
          <w:tcPr/>
          <w:p>
            <w:pPr>
              <w:pStyle w:val="Compact"/>
              <w:jc w:val="center"/>
            </w:pPr>
            <m:oMath>
              <m:r>
                <m:t>d</m:t>
              </m:r>
            </m:oMath>
          </w:p>
        </w:tc>
        <w:tc>
          <w:tcPr/>
          <w:p>
            <w:pPr>
              <w:pStyle w:val="Compact"/>
              <w:jc w:val="center"/>
            </w:pPr>
            <w:r>
              <w:t xml:space="preserve">LoRA Params (</w:t>
            </w:r>
            <m:oMath>
              <m:r>
                <m:t>2</m:t>
              </m:r>
              <m:r>
                <m:t>d</m:t>
              </m:r>
              <m:r>
                <m:t>r</m:t>
              </m:r>
            </m:oMath>
            <w:r>
              <w:t xml:space="preserve">)</w:t>
            </w:r>
          </w:p>
        </w:tc>
        <w:tc>
          <w:tcPr/>
          <w:p>
            <w:pPr>
              <w:pStyle w:val="Compact"/>
              <w:jc w:val="center"/>
            </w:pPr>
            <w:r>
              <w:t xml:space="preserve">LingYa Params (</w:t>
            </w:r>
            <m:oMath>
              <m:r>
                <m:t>d</m:t>
              </m:r>
              <m:r>
                <m:t>r</m:t>
              </m:r>
            </m:oMath>
            <w:r>
              <w:t xml:space="preserve">)</w:t>
            </w:r>
          </w:p>
        </w:tc>
      </w:tr>
      <w:tr>
        <w:tc>
          <w:tcPr/>
          <w:p>
            <w:pPr>
              <w:pStyle w:val="Compact"/>
              <w:jc w:val="center"/>
            </w:pPr>
            <w:r>
              <w:t xml:space="preserve">512,</w:t>
            </w:r>
            <w:r>
              <w:t xml:space="preserve"> </w:t>
            </w:r>
            <m:oMath>
              <m:r>
                <m:t>r</m:t>
              </m:r>
              <m:r>
                <m:rPr>
                  <m:sty m:val="p"/>
                </m:rPr>
                <m:t>=</m:t>
              </m:r>
              <m:r>
                <m:t>4</m:t>
              </m:r>
            </m:oMath>
          </w:p>
        </w:tc>
        <w:tc>
          <w:tcPr/>
          <w:p>
            <w:pPr>
              <w:pStyle w:val="Compact"/>
              <w:jc w:val="center"/>
            </w:pPr>
            <w:r>
              <w:t xml:space="preserve">4,096</w:t>
            </w:r>
          </w:p>
        </w:tc>
        <w:tc>
          <w:tcPr/>
          <w:p>
            <w:pPr>
              <w:pStyle w:val="Compact"/>
              <w:jc w:val="center"/>
            </w:pPr>
            <w:r>
              <w:t xml:space="preserve">2,048 (50%)</w:t>
            </w:r>
          </w:p>
        </w:tc>
      </w:tr>
      <w:tr>
        <w:tc>
          <w:tcPr/>
          <w:p>
            <w:pPr>
              <w:pStyle w:val="Compact"/>
              <w:jc w:val="center"/>
            </w:pPr>
            <w:r>
              <w:t xml:space="preserve">512,</w:t>
            </w:r>
            <w:r>
              <w:t xml:space="preserve"> </w:t>
            </w:r>
            <m:oMath>
              <m:r>
                <m:t>r</m:t>
              </m:r>
              <m:r>
                <m:rPr>
                  <m:sty m:val="p"/>
                </m:rPr>
                <m:t>=</m:t>
              </m:r>
              <m:r>
                <m:t>8</m:t>
              </m:r>
            </m:oMath>
          </w:p>
        </w:tc>
        <w:tc>
          <w:tcPr/>
          <w:p>
            <w:pPr>
              <w:pStyle w:val="Compact"/>
              <w:jc w:val="center"/>
            </w:pPr>
            <w:r>
              <w:t xml:space="preserve">8,192</w:t>
            </w:r>
          </w:p>
        </w:tc>
        <w:tc>
          <w:tcPr/>
          <w:p>
            <w:pPr>
              <w:pStyle w:val="Compact"/>
              <w:jc w:val="center"/>
            </w:pPr>
            <w:r>
              <w:t xml:space="preserve">4,096 (50%)</w:t>
            </w:r>
          </w:p>
        </w:tc>
      </w:tr>
      <w:tr>
        <w:tc>
          <w:tcPr/>
          <w:p>
            <w:pPr>
              <w:pStyle w:val="Compact"/>
              <w:jc w:val="center"/>
            </w:pPr>
            <w:r>
              <w:t xml:space="preserve">512,</w:t>
            </w:r>
            <w:r>
              <w:t xml:space="preserve"> </w:t>
            </w:r>
            <m:oMath>
              <m:r>
                <m:t>r</m:t>
              </m:r>
              <m:r>
                <m:rPr>
                  <m:sty m:val="p"/>
                </m:rPr>
                <m:t>=</m:t>
              </m:r>
              <m:r>
                <m:t>16</m:t>
              </m:r>
            </m:oMath>
          </w:p>
        </w:tc>
        <w:tc>
          <w:tcPr/>
          <w:p>
            <w:pPr>
              <w:pStyle w:val="Compact"/>
              <w:jc w:val="center"/>
            </w:pPr>
            <w:r>
              <w:t xml:space="preserve">16,384</w:t>
            </w:r>
          </w:p>
        </w:tc>
        <w:tc>
          <w:tcPr/>
          <w:p>
            <w:pPr>
              <w:pStyle w:val="Compact"/>
              <w:jc w:val="center"/>
            </w:pPr>
            <w:r>
              <w:t xml:space="preserve">8,192 (50%)</w:t>
            </w:r>
          </w:p>
        </w:tc>
      </w:tr>
    </w:tbl>
    <w:p/>
    <w:p>
      <w:pPr>
        <w:pStyle w:val="TableCaption"/>
      </w:pPr>
      <w:r>
        <w:t xml:space="preserve">Fusion stability: negligible impact on weights.</w:t>
      </w:r>
      <w:r>
        <w:t xml:space="preserve"> </w:t>
      </w:r>
      <w:r>
        <w:rPr>
          <w:b/>
          <w:bCs/>
        </w:rPr>
        <w:t xml:space="preserve">Real experiment.</w:t>
      </w:r>
    </w:p>
    <w:tbl>
      <w:tblPr>
        <w:tblStyle w:val="Table"/>
        <w:tblW w:type="auto" w:w="0"/>
        <w:tblLook w:firstRow="1" w:lastRow="0" w:firstColumn="0" w:lastColumn="0" w:noHBand="0" w:noVBand="0" w:val="0020"/>
        <w:tblCaption w:val="Fusion stability: negligible impact on weights. Real experiment."/>
      </w:tblPr>
      <w:tblGrid>
        <w:gridCol w:w="2640"/>
        <w:gridCol w:w="2640"/>
        <w:gridCol w:w="2640"/>
      </w:tblGrid>
      <w:tr>
        <w:trPr>
          <w:tblHeader w:val="on"/>
        </w:trPr>
        <w:tc>
          <w:tcPr/>
          <w:p>
            <w:pPr>
              <w:pStyle w:val="Compact"/>
              <w:jc w:val="center"/>
            </w:pPr>
            <w:r>
              <w:t xml:space="preserve">Metric</w:t>
            </w:r>
          </w:p>
        </w:tc>
        <w:tc>
          <w:tcPr/>
          <w:p>
            <w:pPr>
              <w:pStyle w:val="Compact"/>
              <w:jc w:val="center"/>
            </w:pPr>
            <w:r>
              <w:t xml:space="preserve">Before Fusion</w:t>
            </w:r>
          </w:p>
        </w:tc>
        <w:tc>
          <w:tcPr/>
          <w:p>
            <w:pPr>
              <w:pStyle w:val="Compact"/>
              <w:jc w:val="center"/>
            </w:pPr>
            <w:r>
              <w:t xml:space="preserve">After Fusion</w:t>
            </w:r>
          </w:p>
        </w:tc>
      </w:tr>
      <w:tr>
        <w:tc>
          <w:tcPr/>
          <w:p>
            <w:pPr>
              <w:pStyle w:val="Compact"/>
              <w:jc w:val="center"/>
            </w:pPr>
            <w:r>
              <w:t xml:space="preserve">Output mean</w:t>
            </w:r>
          </w:p>
        </w:tc>
        <w:tc>
          <w:tcPr/>
          <w:p>
            <w:pPr>
              <w:pStyle w:val="Compact"/>
              <w:jc w:val="center"/>
            </w:pPr>
            <w:r>
              <w:t xml:space="preserve">0.523</w:t>
            </w:r>
          </w:p>
        </w:tc>
        <w:tc>
          <w:tcPr/>
          <w:p>
            <w:pPr>
              <w:pStyle w:val="Compact"/>
              <w:jc w:val="center"/>
            </w:pPr>
            <w:r>
              <w:t xml:space="preserve">0.524 (0.2%)</w:t>
            </w:r>
          </w:p>
        </w:tc>
      </w:tr>
      <w:tr>
        <w:tc>
          <w:tcPr/>
          <w:p>
            <w:pPr>
              <w:pStyle w:val="Compact"/>
              <w:jc w:val="center"/>
            </w:pPr>
            <w:r>
              <w:t xml:space="preserve">Output variance</w:t>
            </w:r>
          </w:p>
        </w:tc>
        <w:tc>
          <w:tcPr/>
          <w:p>
            <w:pPr>
              <w:pStyle w:val="Compact"/>
              <w:jc w:val="center"/>
            </w:pPr>
            <w:r>
              <w:t xml:space="preserve">1.012</w:t>
            </w:r>
          </w:p>
        </w:tc>
        <w:tc>
          <w:tcPr/>
          <w:p>
            <w:pPr>
              <w:pStyle w:val="Compact"/>
              <w:jc w:val="center"/>
            </w:pPr>
            <w:r>
              <w:t xml:space="preserve">1.013 (0.1%)</w:t>
            </w:r>
          </w:p>
        </w:tc>
      </w:tr>
      <w:tr>
        <w:tc>
          <w:tcPr/>
          <w:p>
            <w:pPr>
              <w:pStyle w:val="Compact"/>
              <w:jc w:val="center"/>
            </w:pPr>
            <w:r>
              <w:t xml:space="preserve">Loss difference</w:t>
            </w:r>
          </w:p>
        </w:tc>
        <w:tc>
          <w:tcPr/>
          <w:p>
            <w:pPr>
              <w:pStyle w:val="Compact"/>
              <w:jc w:val="center"/>
            </w:pPr>
            <w:r>
              <w:t xml:space="preserve">0.082</w:t>
            </w:r>
          </w:p>
        </w:tc>
        <w:tc>
          <w:tcPr/>
          <w:p>
            <w:pPr>
              <w:pStyle w:val="Compact"/>
              <w:jc w:val="center"/>
            </w:pPr>
            <w:r>
              <w:t xml:space="preserve">0.081 (1.2%)</w:t>
            </w:r>
          </w:p>
        </w:tc>
      </w:tr>
    </w:tbl>
    <w:bookmarkEnd w:id="29"/>
    <w:bookmarkStart w:id="30" w:name="simulated-channel-ablation"/>
    <w:p>
      <w:pPr>
        <w:pStyle w:val="Heading2"/>
      </w:pPr>
      <w:r>
        <w:t xml:space="preserve">Simulated Channel Ablation</w:t>
      </w:r>
    </w:p>
    <w:p>
      <w:pPr>
        <w:pStyle w:val="TableCaption"/>
      </w:pPr>
      <w:r>
        <w:t xml:space="preserve">Channel type ablation.</w:t>
      </w:r>
      <w:r>
        <w:t xml:space="preserve"> </w:t>
      </w:r>
      <w:r>
        <w:rPr>
          <w:b/>
          <w:bCs/>
        </w:rPr>
        <w:t xml:space="preserve">Simulated data:</w:t>
      </w:r>
      <w:r>
        <w:t xml:space="preserve"> </w:t>
      </w:r>
      <w:r>
        <w:t xml:space="preserve">Formula-generated.</w:t>
      </w:r>
    </w:p>
    <w:tbl>
      <w:tblPr>
        <w:tblStyle w:val="Table"/>
        <w:tblW w:type="auto" w:w="0"/>
        <w:tblLook w:firstRow="1" w:lastRow="0" w:firstColumn="0" w:lastColumn="0" w:noHBand="0" w:noVBand="0" w:val="0020"/>
        <w:tblCaption w:val="Channel type ablation. Simulated data: Formula-generated."/>
      </w:tblPr>
      <w:tblGrid>
        <w:gridCol w:w="2640"/>
        <w:gridCol w:w="2640"/>
        <w:gridCol w:w="2640"/>
      </w:tblGrid>
      <w:tr>
        <w:trPr>
          <w:tblHeader w:val="on"/>
        </w:trPr>
        <w:tc>
          <w:tcPr/>
          <w:p>
            <w:pPr>
              <w:pStyle w:val="Compact"/>
              <w:jc w:val="center"/>
            </w:pPr>
            <w:r>
              <w:t xml:space="preserve">Channel Combination</w:t>
            </w:r>
          </w:p>
        </w:tc>
        <w:tc>
          <w:tcPr/>
          <w:p>
            <w:pPr>
              <w:pStyle w:val="Compact"/>
              <w:jc w:val="center"/>
            </w:pPr>
            <w:r>
              <w:t xml:space="preserve">Params</w:t>
            </w:r>
          </w:p>
        </w:tc>
        <w:tc>
          <w:tcPr/>
          <w:p>
            <w:pPr>
              <w:pStyle w:val="Compact"/>
              <w:jc w:val="center"/>
            </w:pPr>
            <w:r>
              <w:t xml:space="preserve">PPL</w:t>
            </w:r>
          </w:p>
        </w:tc>
      </w:tr>
      <w:tr>
        <w:tc>
          <w:tcPr/>
          <w:p>
            <w:pPr>
              <w:pStyle w:val="Compact"/>
              <w:jc w:val="center"/>
            </w:pPr>
            <w:r>
              <w:t xml:space="preserve">All ROOT</w:t>
            </w:r>
          </w:p>
        </w:tc>
        <w:tc>
          <w:tcPr/>
          <w:p>
            <w:pPr>
              <w:pStyle w:val="Compact"/>
              <w:jc w:val="center"/>
            </w:pPr>
            <w:r>
              <w:t xml:space="preserve">2,048</w:t>
            </w:r>
          </w:p>
        </w:tc>
        <w:tc>
          <w:tcPr/>
          <w:p>
            <w:pPr>
              <w:pStyle w:val="Compact"/>
              <w:jc w:val="center"/>
            </w:pPr>
            <w:r>
              <w:t xml:space="preserve">23.1</w:t>
            </w:r>
          </w:p>
        </w:tc>
      </w:tr>
      <w:tr>
        <w:tc>
          <w:tcPr/>
          <w:p>
            <w:pPr>
              <w:pStyle w:val="Compact"/>
              <w:jc w:val="center"/>
            </w:pPr>
            <w:r>
              <w:t xml:space="preserve">ROOT + 2</w:t>
            </w:r>
            <m:oMath>
              <m:r>
                <m:rPr>
                  <m:sty m:val="p"/>
                </m:rPr>
                <m:t>×</m:t>
              </m:r>
            </m:oMath>
            <w:r>
              <w:t xml:space="preserve">BRANCH</w:t>
            </w:r>
          </w:p>
        </w:tc>
        <w:tc>
          <w:tcPr/>
          <w:p>
            <w:pPr>
              <w:pStyle w:val="Compact"/>
              <w:jc w:val="center"/>
            </w:pPr>
            <w:r>
              <w:t xml:space="preserve">4,096</w:t>
            </w:r>
          </w:p>
        </w:tc>
        <w:tc>
          <w:tcPr/>
          <w:p>
            <w:pPr>
              <w:pStyle w:val="Compact"/>
              <w:jc w:val="center"/>
            </w:pPr>
            <w:r>
              <w:t xml:space="preserve">22.8</w:t>
            </w:r>
          </w:p>
        </w:tc>
      </w:tr>
      <w:tr>
        <w:tc>
          <w:tcPr/>
          <w:p>
            <w:pPr>
              <w:pStyle w:val="Compact"/>
              <w:jc w:val="center"/>
            </w:pPr>
            <w:r>
              <w:t xml:space="preserve">ROOT + 2</w:t>
            </w:r>
            <m:oMath>
              <m:r>
                <m:rPr>
                  <m:sty m:val="p"/>
                </m:rPr>
                <m:t>×</m:t>
              </m:r>
            </m:oMath>
            <w:r>
              <w:t xml:space="preserve">BRANCH + LEAF</w:t>
            </w:r>
          </w:p>
        </w:tc>
        <w:tc>
          <w:tcPr/>
          <w:p>
            <w:pPr>
              <w:pStyle w:val="Compact"/>
              <w:jc w:val="center"/>
            </w:pPr>
            <w:r>
              <w:t xml:space="preserve">6,144</w:t>
            </w:r>
          </w:p>
        </w:tc>
        <w:tc>
          <w:tcPr/>
          <w:p>
            <w:pPr>
              <w:pStyle w:val="Compact"/>
              <w:jc w:val="center"/>
            </w:pPr>
            <w:r>
              <w:rPr>
                <w:b/>
                <w:bCs/>
              </w:rPr>
              <w:t xml:space="preserve">22.5</w:t>
            </w:r>
          </w:p>
        </w:tc>
      </w:tr>
      <w:tr>
        <w:tc>
          <w:tcPr/>
          <w:p>
            <w:pPr>
              <w:pStyle w:val="Compact"/>
              <w:jc w:val="center"/>
            </w:pPr>
            <w:r>
              <w:t xml:space="preserve">All BRANCH</w:t>
            </w:r>
          </w:p>
        </w:tc>
        <w:tc>
          <w:tcPr/>
          <w:p>
            <w:pPr>
              <w:pStyle w:val="Compact"/>
              <w:jc w:val="center"/>
            </w:pPr>
            <w:r>
              <w:t xml:space="preserve">4,096</w:t>
            </w:r>
          </w:p>
        </w:tc>
        <w:tc>
          <w:tcPr/>
          <w:p>
            <w:pPr>
              <w:pStyle w:val="Compact"/>
              <w:jc w:val="center"/>
            </w:pPr>
            <w:r>
              <w:t xml:space="preserve">22.9</w:t>
            </w:r>
          </w:p>
        </w:tc>
      </w:tr>
    </w:tbl>
    <w:bookmarkEnd w:id="30"/>
    <w:bookmarkEnd w:id="31"/>
    <w:bookmarkStart w:id="35" w:name="discussion"/>
    <w:p>
      <w:pPr>
        <w:pStyle w:val="Heading1"/>
      </w:pPr>
      <w:r>
        <w:t xml:space="preserve">Discussion</w:t>
      </w:r>
    </w:p>
    <w:bookmarkStart w:id="32" w:name="comparison-with-baselines"/>
    <w:p>
      <w:pPr>
        <w:pStyle w:val="Heading2"/>
      </w:pPr>
      <w:r>
        <w:t xml:space="preserve">Comparison with Baselines</w:t>
      </w:r>
    </w:p>
    <w:p>
      <w:pPr>
        <w:pStyle w:val="TableCaption"/>
      </w:pPr>
      <w:r>
        <w:t xml:space="preserve">Complexity comparison.</w:t>
      </w:r>
    </w:p>
    <w:tbl>
      <w:tblPr>
        <w:tblStyle w:val="Table"/>
        <w:tblW w:type="auto" w:w="0"/>
        <w:tblLook w:firstRow="1" w:lastRow="0" w:firstColumn="0" w:lastColumn="0" w:noHBand="0" w:noVBand="0" w:val="0020"/>
        <w:tblCaption w:val="Complexity comparison."/>
      </w:tblPr>
      <w:tblGrid>
        <w:gridCol w:w="1980"/>
        <w:gridCol w:w="1980"/>
        <w:gridCol w:w="1980"/>
        <w:gridCol w:w="1980"/>
      </w:tblGrid>
      <w:tr>
        <w:trPr>
          <w:tblHeader w:val="on"/>
        </w:trPr>
        <w:tc>
          <w:tcPr/>
          <w:p>
            <w:pPr>
              <w:pStyle w:val="Compact"/>
              <w:jc w:val="center"/>
            </w:pPr>
            <w:r>
              <w:t xml:space="preserve">Method</w:t>
            </w:r>
          </w:p>
        </w:tc>
        <w:tc>
          <w:tcPr/>
          <w:p>
            <w:pPr>
              <w:pStyle w:val="Compact"/>
              <w:jc w:val="center"/>
            </w:pPr>
            <w:r>
              <w:t xml:space="preserve">Compute</w:t>
            </w:r>
          </w:p>
        </w:tc>
        <w:tc>
          <w:tcPr/>
          <w:p>
            <w:pPr>
              <w:pStyle w:val="Compact"/>
              <w:jc w:val="center"/>
            </w:pPr>
            <w:r>
              <w:t xml:space="preserve">Memory</w:t>
            </w:r>
          </w:p>
        </w:tc>
        <w:tc>
          <w:tcPr/>
          <w:p>
            <w:pPr>
              <w:pStyle w:val="Compact"/>
              <w:jc w:val="center"/>
            </w:pPr>
            <w:r>
              <w:t xml:space="preserve">Incremental</w:t>
            </w:r>
          </w:p>
        </w:tc>
      </w:tr>
      <w:tr>
        <w:tc>
          <w:tcPr/>
          <w:p>
            <w:pPr>
              <w:pStyle w:val="Compact"/>
              <w:jc w:val="center"/>
            </w:pPr>
            <w:r>
              <w:t xml:space="preserve">Standard Attention</w:t>
            </w:r>
          </w:p>
        </w:tc>
        <w:tc>
          <w:tcPr/>
          <w:p>
            <w:pPr>
              <w:pStyle w:val="Compact"/>
              <w:jc w:val="center"/>
            </w:pPr>
            <m:oMath>
              <m:r>
                <m:t>O</m:t>
              </m:r>
              <m:r>
                <m:rPr>
                  <m:sty m:val="p"/>
                </m:rPr>
                <m:t>(</m:t>
              </m:r>
              <m:sSup>
                <m:e>
                  <m:r>
                    <m:t>n</m:t>
                  </m:r>
                </m:e>
                <m:sup>
                  <m:r>
                    <m:t>2</m:t>
                  </m:r>
                </m:sup>
              </m:sSup>
              <m:r>
                <m:rPr>
                  <m:sty m:val="p"/>
                </m:rPr>
                <m:t>)</m:t>
              </m:r>
            </m:oMath>
          </w:p>
        </w:tc>
        <w:tc>
          <w:tcPr/>
          <w:p>
            <w:pPr>
              <w:pStyle w:val="Compact"/>
              <w:jc w:val="center"/>
            </w:pPr>
            <m:oMath>
              <m:r>
                <m:t>O</m:t>
              </m:r>
              <m:r>
                <m:rPr>
                  <m:sty m:val="p"/>
                </m:rPr>
                <m:t>(</m:t>
              </m:r>
              <m:r>
                <m:t>n</m:t>
              </m:r>
              <m:r>
                <m:rPr>
                  <m:sty m:val="p"/>
                </m:rPr>
                <m:t>)</m:t>
              </m:r>
            </m:oMath>
          </w:p>
        </w:tc>
        <w:tc>
          <w:tcPr/>
          <w:p>
            <w:pPr>
              <w:pStyle w:val="Compact"/>
              <w:jc w:val="center"/>
            </w:pPr>
            <m:oMath>
              <m:r>
                <m:rPr>
                  <m:sty m:val="p"/>
                </m:rPr>
                <m:t>✓</m:t>
              </m:r>
            </m:oMath>
          </w:p>
        </w:tc>
      </w:tr>
      <w:tr>
        <w:tc>
          <w:tcPr/>
          <w:p>
            <w:pPr>
              <w:pStyle w:val="Compact"/>
              <w:jc w:val="center"/>
            </w:pPr>
            <w:r>
              <w:t xml:space="preserve">FlashAttention</w:t>
            </w:r>
          </w:p>
        </w:tc>
        <w:tc>
          <w:tcPr/>
          <w:p>
            <w:pPr>
              <w:pStyle w:val="Compact"/>
              <w:jc w:val="center"/>
            </w:pPr>
            <m:oMath>
              <m:r>
                <m:t>O</m:t>
              </m:r>
              <m:r>
                <m:rPr>
                  <m:sty m:val="p"/>
                </m:rPr>
                <m:t>(</m:t>
              </m:r>
              <m:sSup>
                <m:e>
                  <m:r>
                    <m:t>n</m:t>
                  </m:r>
                </m:e>
                <m:sup>
                  <m:r>
                    <m:t>2</m:t>
                  </m:r>
                </m:sup>
              </m:sSup>
              <m:r>
                <m:rPr>
                  <m:sty m:val="p"/>
                </m:rPr>
                <m:t>)</m:t>
              </m:r>
            </m:oMath>
          </w:p>
        </w:tc>
        <w:tc>
          <w:tcPr/>
          <w:p>
            <w:pPr>
              <w:pStyle w:val="Compact"/>
              <w:jc w:val="center"/>
            </w:pPr>
            <m:oMath>
              <m:r>
                <m:t>O</m:t>
              </m:r>
              <m:r>
                <m:rPr>
                  <m:sty m:val="p"/>
                </m:rPr>
                <m:t>(</m:t>
              </m:r>
              <m:r>
                <m:t>n</m:t>
              </m:r>
              <m:r>
                <m:rPr>
                  <m:sty m:val="p"/>
                </m:rPr>
                <m:t>)</m:t>
              </m:r>
            </m:oMath>
          </w:p>
        </w:tc>
        <w:tc>
          <w:tcPr/>
          <w:p>
            <w:pPr>
              <w:pStyle w:val="Compact"/>
              <w:jc w:val="center"/>
            </w:pPr>
            <m:oMath>
              <m:r>
                <m:rPr>
                  <m:sty m:val="p"/>
                </m:rPr>
                <m:t>✓</m:t>
              </m:r>
            </m:oMath>
          </w:p>
        </w:tc>
      </w:tr>
      <w:tr>
        <w:tc>
          <w:tcPr/>
          <w:p>
            <w:pPr>
              <w:pStyle w:val="Compact"/>
              <w:jc w:val="center"/>
            </w:pPr>
            <w:r>
              <w:t xml:space="preserve">Mamba SSM</w:t>
            </w:r>
          </w:p>
        </w:tc>
        <w:tc>
          <w:tcPr/>
          <w:p>
            <w:pPr>
              <w:pStyle w:val="Compact"/>
              <w:jc w:val="center"/>
            </w:pPr>
            <m:oMath>
              <m:r>
                <m:t>O</m:t>
              </m:r>
              <m:r>
                <m:rPr>
                  <m:sty m:val="p"/>
                </m:rPr>
                <m:t>(</m:t>
              </m:r>
              <m:r>
                <m:t>n</m:t>
              </m:r>
              <m:r>
                <m:rPr>
                  <m:sty m:val="p"/>
                </m:rPr>
                <m:t>)</m:t>
              </m:r>
            </m:oMath>
          </w:p>
        </w:tc>
        <w:tc>
          <w:tcPr/>
          <w:p>
            <w:pPr>
              <w:pStyle w:val="Compact"/>
              <w:jc w:val="center"/>
            </w:pPr>
            <m:oMath>
              <m:r>
                <m:t>O</m:t>
              </m:r>
              <m:r>
                <m:rPr>
                  <m:sty m:val="p"/>
                </m:rPr>
                <m:t>(</m:t>
              </m:r>
              <m:r>
                <m:t>1</m:t>
              </m:r>
              <m:r>
                <m:rPr>
                  <m:sty m:val="p"/>
                </m:rPr>
                <m:t>)</m:t>
              </m:r>
            </m:oMath>
          </w:p>
        </w:tc>
        <w:tc>
          <w:tcPr/>
          <w:p>
            <w:pPr>
              <w:pStyle w:val="Compact"/>
              <w:jc w:val="center"/>
            </w:pPr>
            <m:oMath>
              <m:r>
                <m:rPr>
                  <m:sty m:val="p"/>
                </m:rPr>
                <m:t>✓</m:t>
              </m:r>
            </m:oMath>
          </w:p>
        </w:tc>
      </w:tr>
      <w:tr>
        <w:tc>
          <w:tcPr/>
          <w:p>
            <w:pPr>
              <w:pStyle w:val="Compact"/>
              <w:jc w:val="center"/>
            </w:pPr>
            <w:r>
              <w:t xml:space="preserve">Linear Attention</w:t>
            </w:r>
          </w:p>
        </w:tc>
        <w:tc>
          <w:tcPr/>
          <w:p>
            <w:pPr>
              <w:pStyle w:val="Compact"/>
              <w:jc w:val="center"/>
            </w:pPr>
            <m:oMath>
              <m:r>
                <m:t>O</m:t>
              </m:r>
              <m:r>
                <m:rPr>
                  <m:sty m:val="p"/>
                </m:rPr>
                <m:t>(</m:t>
              </m:r>
              <m:r>
                <m:t>n</m:t>
              </m:r>
              <m:r>
                <m:rPr>
                  <m:sty m:val="p"/>
                </m:rPr>
                <m:t>)</m:t>
              </m:r>
            </m:oMath>
          </w:p>
        </w:tc>
        <w:tc>
          <w:tcPr/>
          <w:p>
            <w:pPr>
              <w:pStyle w:val="Compact"/>
              <w:jc w:val="center"/>
            </w:pPr>
            <m:oMath>
              <m:r>
                <m:t>O</m:t>
              </m:r>
              <m:r>
                <m:rPr>
                  <m:sty m:val="p"/>
                </m:rPr>
                <m:t>(</m:t>
              </m:r>
              <m:r>
                <m:t>n</m:t>
              </m:r>
              <m:r>
                <m:rPr>
                  <m:sty m:val="p"/>
                </m:rPr>
                <m:t>)</m:t>
              </m:r>
            </m:oMath>
          </w:p>
        </w:tc>
        <w:tc>
          <w:tcPr/>
          <w:p>
            <w:pPr>
              <w:pStyle w:val="Compact"/>
              <w:jc w:val="center"/>
            </w:pPr>
            <m:oMath>
              <m:r>
                <m:rPr>
                  <m:sty m:val="p"/>
                </m:rPr>
                <m:t>✓</m:t>
              </m:r>
            </m:oMath>
          </w:p>
        </w:tc>
      </w:tr>
      <w:tr>
        <w:tc>
          <w:tcPr/>
          <w:p>
            <w:pPr>
              <w:pStyle w:val="Compact"/>
              <w:jc w:val="center"/>
            </w:pPr>
            <w:r>
              <w:t xml:space="preserve">H2O</w:t>
            </w:r>
          </w:p>
        </w:tc>
        <w:tc>
          <w:tcPr/>
          <w:p>
            <w:pPr>
              <w:pStyle w:val="Compact"/>
              <w:jc w:val="center"/>
            </w:pPr>
            <m:oMath>
              <m:r>
                <m:t>O</m:t>
              </m:r>
              <m:r>
                <m:rPr>
                  <m:sty m:val="p"/>
                </m:rPr>
                <m:t>(</m:t>
              </m:r>
              <m:r>
                <m:t>n</m:t>
              </m:r>
              <m:r>
                <m:rPr>
                  <m:sty m:val="p"/>
                </m:rPr>
                <m:t>)</m:t>
              </m:r>
            </m:oMath>
          </w:p>
        </w:tc>
        <w:tc>
          <w:tcPr/>
          <w:p>
            <w:pPr>
              <w:pStyle w:val="Compact"/>
              <w:jc w:val="center"/>
            </w:pPr>
            <m:oMath>
              <m:r>
                <m:t>O</m:t>
              </m:r>
              <m:r>
                <m:rPr>
                  <m:sty m:val="p"/>
                </m:rPr>
                <m:t>(</m:t>
              </m:r>
              <m:rad>
                <m:radPr>
                  <m:degHide m:val="on"/>
                </m:radPr>
                <m:deg/>
                <m:e>
                  <m:r>
                    <m:t>n</m:t>
                  </m:r>
                </m:e>
              </m:rad>
              <m:r>
                <m:rPr>
                  <m:sty m:val="p"/>
                </m:rPr>
                <m:t>)</m:t>
              </m:r>
            </m:oMath>
          </w:p>
        </w:tc>
        <w:tc>
          <w:tcPr/>
          <w:p>
            <w:pPr>
              <w:pStyle w:val="Compact"/>
              <w:jc w:val="center"/>
            </w:pPr>
            <m:oMath>
              <m:r>
                <m:rPr>
                  <m:sty m:val="p"/>
                </m:rPr>
                <m:t>✓</m:t>
              </m:r>
            </m:oMath>
          </w:p>
        </w:tc>
      </w:tr>
      <w:tr>
        <w:tc>
          <w:tcPr/>
          <w:p>
            <w:pPr>
              <w:pStyle w:val="Compact"/>
              <w:jc w:val="center"/>
            </w:pPr>
            <w:r>
              <w:rPr>
                <w:b/>
                <w:bCs/>
              </w:rPr>
              <w:t xml:space="preserve">Soma</w:t>
            </w:r>
          </w:p>
        </w:tc>
        <w:tc>
          <w:tcPr/>
          <w:p>
            <w:pPr>
              <w:pStyle w:val="Compact"/>
              <w:jc w:val="center"/>
            </w:pPr>
            <m:oMath>
              <m:r>
                <m:t>O</m:t>
              </m:r>
              <m:r>
                <m:rPr>
                  <m:sty m:val="p"/>
                </m:rPr>
                <m:t>(</m:t>
              </m:r>
              <m:r>
                <m:t>k</m:t>
              </m:r>
              <m:r>
                <m:rPr>
                  <m:sty m:val="p"/>
                </m:rPr>
                <m:t>⋅</m:t>
              </m:r>
              <m:r>
                <m:t>n</m:t>
              </m:r>
              <m:r>
                <m:rPr>
                  <m:sty m:val="p"/>
                </m:rPr>
                <m:t>)</m:t>
              </m:r>
            </m:oMath>
          </w:p>
        </w:tc>
        <w:tc>
          <w:tcPr/>
          <w:p>
            <w:pPr>
              <w:pStyle w:val="Compact"/>
              <w:jc w:val="center"/>
            </w:pPr>
            <m:oMath>
              <m:r>
                <m:t>O</m:t>
              </m:r>
              <m:r>
                <m:rPr>
                  <m:sty m:val="p"/>
                </m:rPr>
                <m:t>(</m:t>
              </m:r>
              <m:r>
                <m:t>k</m:t>
              </m:r>
              <m:r>
                <m:rPr>
                  <m:sty m:val="p"/>
                </m:rPr>
                <m:t>)</m:t>
              </m:r>
            </m:oMath>
          </w:p>
        </w:tc>
        <w:tc>
          <w:tcPr/>
          <w:p>
            <w:pPr>
              <w:pStyle w:val="Compact"/>
              <w:jc w:val="center"/>
            </w:pPr>
            <m:oMath>
              <m:r>
                <m:rPr>
                  <m:sty m:val="p"/>
                </m:rPr>
                <m:t>✓</m:t>
              </m:r>
            </m:oMath>
          </w:p>
        </w:tc>
      </w:tr>
    </w:tbl>
    <w:bookmarkEnd w:id="32"/>
    <w:bookmarkStart w:id="33" w:name="limitations"/>
    <w:p>
      <w:pPr>
        <w:pStyle w:val="Heading2"/>
      </w:pPr>
      <w:r>
        <w:t xml:space="preserve">Limitations</w:t>
      </w:r>
    </w:p>
    <w:p>
      <w:pPr>
        <w:numPr>
          <w:ilvl w:val="0"/>
          <w:numId w:val="1004"/>
        </w:numPr>
      </w:pPr>
      <w:r>
        <w:rPr>
          <w:b/>
          <w:bCs/>
        </w:rPr>
        <w:t xml:space="preserve">Prototype only:</w:t>
      </w:r>
      <w:r>
        <w:t xml:space="preserve"> </w:t>
      </w:r>
      <w:r>
        <w:t xml:space="preserve">All data from MLX Python prototype. C++/Metal deployment targets (4.16</w:t>
      </w:r>
      <m:oMath>
        <m:r>
          <m:rPr>
            <m:sty m:val="p"/>
          </m:rPr>
          <m:t>×</m:t>
        </m:r>
      </m:oMath>
      <w:r>
        <w:t xml:space="preserve"> </w:t>
      </w:r>
      <w:r>
        <w:t xml:space="preserve">speedup) are not yet verified.</w:t>
      </w:r>
    </w:p>
    <w:p>
      <w:pPr>
        <w:numPr>
          <w:ilvl w:val="0"/>
          <w:numId w:val="1004"/>
        </w:numPr>
      </w:pPr>
      <w:r>
        <w:rPr>
          <w:b/>
          <w:bCs/>
        </w:rPr>
        <w:t xml:space="preserve">Simulated distillation data:</w:t>
      </w:r>
      <w:r>
        <w:t xml:space="preserve"> </w:t>
      </w:r>
      <w:r>
        <w:t xml:space="preserve">PPL values, ablation studies, and downstream task results for Heritage are formula-generated. Real distillation training is required.</w:t>
      </w:r>
    </w:p>
    <w:p>
      <w:pPr>
        <w:numPr>
          <w:ilvl w:val="0"/>
          <w:numId w:val="1004"/>
        </w:numPr>
      </w:pPr>
      <w:r>
        <w:rPr>
          <w:b/>
          <w:bCs/>
        </w:rPr>
        <w:t xml:space="preserve">Unvalidated components:</w:t>
      </w:r>
      <w:r>
        <w:t xml:space="preserve"> </w:t>
      </w:r>
      <w:r>
        <w:t xml:space="preserve">Homeostasis, GrowthTemporal, and channel ablation studies lack experimental verification.</w:t>
      </w:r>
    </w:p>
    <w:p>
      <w:pPr>
        <w:numPr>
          <w:ilvl w:val="0"/>
          <w:numId w:val="1004"/>
        </w:numPr>
      </w:pPr>
      <w:r>
        <w:rPr>
          <w:b/>
          <w:bCs/>
        </w:rPr>
        <w:t xml:space="preserve">Single model size:</w:t>
      </w:r>
      <w:r>
        <w:t xml:space="preserve"> </w:t>
      </w:r>
      <w:r>
        <w:t xml:space="preserve">Primary experiments on 0.5B model. 7B+ verification needed.</w:t>
      </w:r>
    </w:p>
    <w:p>
      <w:pPr>
        <w:numPr>
          <w:ilvl w:val="0"/>
          <w:numId w:val="1004"/>
        </w:numPr>
      </w:pPr>
      <w:r>
        <w:rPr>
          <w:b/>
          <w:bCs/>
        </w:rPr>
        <w:t xml:space="preserve">Missing SOTA comparisons:</w:t>
      </w:r>
      <w:r>
        <w:t xml:space="preserve"> </w:t>
      </w:r>
      <w:r>
        <w:t xml:space="preserve">No comparison with QLoRA, DoRA, AdaLoRA (PEFT), or Mamba-2, RWKV-6 (sequence models).</w:t>
      </w:r>
    </w:p>
    <w:p>
      <w:pPr>
        <w:numPr>
          <w:ilvl w:val="0"/>
          <w:numId w:val="1004"/>
        </w:numPr>
      </w:pPr>
      <w:r>
        <w:rPr>
          <w:b/>
          <w:bCs/>
        </w:rPr>
        <w:t xml:space="preserve">Single seed:</w:t>
      </w:r>
      <w:r>
        <w:t xml:space="preserve"> </w:t>
      </w:r>
      <w:r>
        <w:t xml:space="preserve">All experiments use seed=42. Multiple seeds needed for statistical significance.</w:t>
      </w:r>
    </w:p>
    <w:bookmarkEnd w:id="33"/>
    <w:bookmarkStart w:id="34" w:name="theoretical-limitations"/>
    <w:p>
      <w:pPr>
        <w:pStyle w:val="Heading2"/>
      </w:pPr>
      <w:r>
        <w:t xml:space="preserve">Theoretical Limitations</w:t>
      </w:r>
    </w:p>
    <w:p>
      <w:pPr>
        <w:pStyle w:val="FirstParagraph"/>
      </w:pPr>
      <w:r>
        <w:t xml:space="preserve">Preliminary theoretical analyses (information capacity bounds, distance kernel approximation) contain known issues: inequality direction errors and unjustified assumptions about the relationship between attention matrix condition number and EMA decay. These provide intuition but are not rigorous proofs. Formal theoretical analysis is future work.</w:t>
      </w:r>
    </w:p>
    <w:bookmarkEnd w:id="34"/>
    <w:bookmarkEnd w:id="35"/>
    <w:bookmarkStart w:id="36" w:name="conclusion"/>
    <w:p>
      <w:pPr>
        <w:pStyle w:val="Heading1"/>
      </w:pPr>
      <w:r>
        <w:t xml:space="preserve">Conclusion</w:t>
      </w:r>
    </w:p>
    <w:p>
      <w:pPr>
        <w:pStyle w:val="FirstParagraph"/>
      </w:pPr>
      <w:r>
        <w:t xml:space="preserve">We present Soma, a signal field native architecture for efficient long-sequence processing. Key verified results:</w:t>
      </w:r>
    </w:p>
    <w:p>
      <w:pPr>
        <w:numPr>
          <w:ilvl w:val="0"/>
          <w:numId w:val="1005"/>
        </w:numPr>
      </w:pPr>
      <w:r>
        <w:t xml:space="preserve">Correctness: Cosine Similarity</w:t>
      </w:r>
      <w:r>
        <w:t xml:space="preserve"> </w:t>
      </w:r>
      <m:oMath>
        <m:r>
          <m:rPr>
            <m:sty m:val="p"/>
          </m:rPr>
          <m:t>=</m:t>
        </m:r>
        <m:r>
          <m:t>1.000000</m:t>
        </m:r>
      </m:oMath>
      <w:r>
        <w:t xml:space="preserve"> </w:t>
      </w:r>
      <w:r>
        <w:t xml:space="preserve">to causal standard attention for</w:t>
      </w:r>
      <w:r>
        <w:t xml:space="preserve"> </w:t>
      </w:r>
      <m:oMath>
        <m:r>
          <m:t>t</m:t>
        </m:r>
        <m:r>
          <m:rPr>
            <m:sty m:val="p"/>
          </m:rPr>
          <m:t>≥</m:t>
        </m:r>
        <m:r>
          <m:t>1</m:t>
        </m:r>
      </m:oMath>
      <w:r>
        <w:t xml:space="preserve"> </w:t>
      </w:r>
      <w:r>
        <w:t xml:space="preserve">(7 sequence lengths)</w:t>
      </w:r>
    </w:p>
    <w:p>
      <w:pPr>
        <w:numPr>
          <w:ilvl w:val="0"/>
          <w:numId w:val="1005"/>
        </w:numPr>
      </w:pPr>
      <w:r>
        <w:t xml:space="preserve">Memory: 284</w:t>
      </w:r>
      <m:oMath>
        <m:r>
          <m:rPr>
            <m:sty m:val="p"/>
          </m:rPr>
          <m:t>×</m:t>
        </m:r>
      </m:oMath>
      <w:r>
        <w:t xml:space="preserve">–567</w:t>
      </w:r>
      <m:oMath>
        <m:r>
          <m:rPr>
            <m:sty m:val="p"/>
          </m:rPr>
          <m:t>×</m:t>
        </m:r>
      </m:oMath>
      <w:r>
        <w:t xml:space="preserve"> </w:t>
      </w:r>
      <w:r>
        <w:t xml:space="preserve">compression at 7B/64K (462 KB vs 128–256 MB)</w:t>
      </w:r>
    </w:p>
    <w:p>
      <w:pPr>
        <w:numPr>
          <w:ilvl w:val="0"/>
          <w:numId w:val="1005"/>
        </w:numPr>
      </w:pPr>
      <w:r>
        <w:t xml:space="preserve">Decode:</w:t>
      </w:r>
      <w:r>
        <w:t xml:space="preserve"> </w:t>
      </w:r>
      <m:oMath>
        <m:r>
          <m:t>O</m:t>
        </m:r>
        <m:r>
          <m:rPr>
            <m:sty m:val="p"/>
          </m:rPr>
          <m:t>(</m:t>
        </m:r>
        <m:r>
          <m:t>1</m:t>
        </m:r>
        <m:r>
          <m:rPr>
            <m:sty m:val="p"/>
          </m:rPr>
          <m:t>)</m:t>
        </m:r>
      </m:oMath>
      <w:r>
        <w:t xml:space="preserve"> </w:t>
      </w:r>
      <w:r>
        <w:t xml:space="preserve">constant latency (CV = 0.63%)</w:t>
      </w:r>
    </w:p>
    <w:p>
      <w:pPr>
        <w:numPr>
          <w:ilvl w:val="0"/>
          <w:numId w:val="1005"/>
        </w:numPr>
      </w:pPr>
      <w:r>
        <w:t xml:space="preserve">Parameters: 8.1–32.8 KB overhead</w:t>
      </w:r>
    </w:p>
    <w:p>
      <w:pPr>
        <w:numPr>
          <w:ilvl w:val="0"/>
          <w:numId w:val="1005"/>
        </w:numPr>
      </w:pPr>
      <w:r>
        <w:t xml:space="preserve">PEFT: 50% parameter reduction vs LoRA (proven)</w:t>
      </w:r>
    </w:p>
    <w:p>
      <w:pPr>
        <w:pStyle w:val="FirstParagraph"/>
      </w:pPr>
      <w:r>
        <w:t xml:space="preserve">Simulated results (Heritage PPL, channel ablation, latency estimates) are clearly labeled and represent research directions requiring future experimental validation.</w:t>
      </w:r>
    </w:p>
    <w:bookmarkEnd w:id="36"/>
    <w:bookmarkStart w:id="38" w:name="data-and-code-availability"/>
    <w:p>
      <w:pPr>
        <w:pStyle w:val="Heading1"/>
      </w:pPr>
      <w:r>
        <w:t xml:space="preserve">Data and Code Availability</w:t>
      </w:r>
    </w:p>
    <w:p>
      <w:pPr>
        <w:pStyle w:val="FirstParagraph"/>
      </w:pPr>
      <w:r>
        <w:t xml:space="preserve">Code and experiment scripts are available at:</w:t>
      </w:r>
      <w:r>
        <w:t xml:space="preserve"> </w:t>
      </w:r>
      <w:hyperlink r:id="rId37">
        <w:r>
          <w:rPr>
            <w:rStyle w:val="Hyperlink"/>
          </w:rPr>
          <w:t xml:space="preserve">https://github.com/CN-QN1-dalin/dalin-soma-</w:t>
        </w:r>
      </w:hyperlink>
    </w:p>
    <w:bookmarkEnd w:id="38"/>
    <w:bookmarkStart w:id="39" w:name="disclaimer"/>
    <w:p>
      <w:pPr>
        <w:pStyle w:val="Heading1"/>
      </w:pPr>
      <w:r>
        <w:t xml:space="preserve">Disclaimer</w:t>
      </w:r>
    </w:p>
    <w:p>
      <w:pPr>
        <w:pStyle w:val="FirstParagraph"/>
      </w:pPr>
      <w:r>
        <w:t xml:space="preserve">This work represents preliminary research. Some results are simulated or theoretical. The author is an independent researcher without institutional affiliation. All claims should be interpreted as research hypotheses pending further validation.</w:t>
      </w:r>
    </w:p>
    <w:p>
      <w:pPr>
        <w:pStyle w:val="BodyText"/>
      </w:pPr>
      <w:r>
        <w:t xml:space="preserve">99</w:t>
      </w:r>
    </w:p>
    <w:p>
      <w:pPr>
        <w:pStyle w:val="BodyText"/>
      </w:pPr>
      <w:r>
        <w:t xml:space="preserve">Vaswani A, Shazeer N, Parmar N, et al. Attention is all you need.</w:t>
      </w:r>
      <w:r>
        <w:t xml:space="preserve"> </w:t>
      </w:r>
      <w:r>
        <w:rPr>
          <w:i/>
          <w:iCs/>
        </w:rPr>
        <w:t xml:space="preserve">NeurIPS</w:t>
      </w:r>
      <w:r>
        <w:t xml:space="preserve">, 2017.</w:t>
      </w:r>
    </w:p>
    <w:p>
      <w:pPr>
        <w:pStyle w:val="BodyText"/>
      </w:pPr>
      <w:r>
        <w:t xml:space="preserve">Dao T, Fu D, Ermon S, et al. FlashAttention: Fast and Memory-Efficient Exact Attention with IO-Awareness.</w:t>
      </w:r>
      <w:r>
        <w:t xml:space="preserve"> </w:t>
      </w:r>
      <w:r>
        <w:rPr>
          <w:i/>
          <w:iCs/>
        </w:rPr>
        <w:t xml:space="preserve">NeurIPS</w:t>
      </w:r>
      <w:r>
        <w:t xml:space="preserve">, 2022.</w:t>
      </w:r>
    </w:p>
    <w:p>
      <w:pPr>
        <w:pStyle w:val="BodyText"/>
      </w:pPr>
      <w:r>
        <w:t xml:space="preserve">Dao T. FlashAttention-2: Faster Attention with Better Parallelism and Work Partitioning.</w:t>
      </w:r>
      <w:r>
        <w:t xml:space="preserve"> </w:t>
      </w:r>
      <w:r>
        <w:rPr>
          <w:i/>
          <w:iCs/>
        </w:rPr>
        <w:t xml:space="preserve">ICLR</w:t>
      </w:r>
      <w:r>
        <w:t xml:space="preserve">, 2024.</w:t>
      </w:r>
    </w:p>
    <w:p>
      <w:pPr>
        <w:pStyle w:val="BodyText"/>
      </w:pPr>
      <w:r>
        <w:t xml:space="preserve">Gu A, Dao T. Mamba: Linear-Time Sequence Modeling with Selective State Spaces.</w:t>
      </w:r>
      <w:r>
        <w:t xml:space="preserve"> </w:t>
      </w:r>
      <w:r>
        <w:rPr>
          <w:i/>
          <w:iCs/>
        </w:rPr>
        <w:t xml:space="preserve">arXiv:2312.00752</w:t>
      </w:r>
      <w:r>
        <w:t xml:space="preserve">, 2023.</w:t>
      </w:r>
    </w:p>
    <w:p>
      <w:pPr>
        <w:pStyle w:val="BodyText"/>
      </w:pPr>
      <w:r>
        <w:t xml:space="preserve">Xiao G, et al. Efficient Streaming Language Models with Attention Sinks.</w:t>
      </w:r>
      <w:r>
        <w:t xml:space="preserve"> </w:t>
      </w:r>
      <w:r>
        <w:rPr>
          <w:i/>
          <w:iCs/>
        </w:rPr>
        <w:t xml:space="preserve">ICLR</w:t>
      </w:r>
      <w:r>
        <w:t xml:space="preserve">, 2024. (arXiv:2309.17453)</w:t>
      </w:r>
    </w:p>
    <w:p>
      <w:pPr>
        <w:pStyle w:val="BodyText"/>
      </w:pPr>
      <w:r>
        <w:t xml:space="preserve">Li Y, et al. SnapKV: LLM Knows What You Are Looking for Before Generation.</w:t>
      </w:r>
      <w:r>
        <w:t xml:space="preserve"> </w:t>
      </w:r>
      <w:r>
        <w:rPr>
          <w:i/>
          <w:iCs/>
        </w:rPr>
        <w:t xml:space="preserve">ICLR</w:t>
      </w:r>
      <w:r>
        <w:t xml:space="preserve">, 2024. (arXiv:2404.14469)</w:t>
      </w:r>
    </w:p>
    <w:p>
      <w:pPr>
        <w:pStyle w:val="BodyText"/>
      </w:pPr>
      <w:r>
        <w:t xml:space="preserve">Zhang Z, et al. H</w:t>
      </w:r>
      <w:r>
        <w:rPr>
          <w:vertAlign w:val="subscript"/>
        </w:rPr>
        <w:t xml:space="preserve">2</w:t>
      </w:r>
      <w:r>
        <w:t xml:space="preserve">O: Heavy-Hitter Oracle for Efficient Generative Inference.</w:t>
      </w:r>
      <w:r>
        <w:t xml:space="preserve"> </w:t>
      </w:r>
      <w:r>
        <w:rPr>
          <w:i/>
          <w:iCs/>
        </w:rPr>
        <w:t xml:space="preserve">ICLR</w:t>
      </w:r>
      <w:r>
        <w:t xml:space="preserve">, 2024. (arXiv:2306.14048)</w:t>
      </w:r>
    </w:p>
    <w:p>
      <w:pPr>
        <w:pStyle w:val="BodyText"/>
      </w:pPr>
      <w:r>
        <w:t xml:space="preserve">Wang S, et al. Linformer: Self-Attention with Linear Complexity.</w:t>
      </w:r>
      <w:r>
        <w:t xml:space="preserve"> </w:t>
      </w:r>
      <w:r>
        <w:rPr>
          <w:i/>
          <w:iCs/>
        </w:rPr>
        <w:t xml:space="preserve">arXiv:2103.15660</w:t>
      </w:r>
      <w:r>
        <w:t xml:space="preserve">, 2021.</w:t>
      </w:r>
    </w:p>
    <w:p>
      <w:pPr>
        <w:pStyle w:val="BodyText"/>
      </w:pPr>
      <w:r>
        <w:t xml:space="preserve">Choromanski K, et al. Rethinking Attention with Performers.</w:t>
      </w:r>
      <w:r>
        <w:t xml:space="preserve"> </w:t>
      </w:r>
      <w:r>
        <w:rPr>
          <w:i/>
          <w:iCs/>
        </w:rPr>
        <w:t xml:space="preserve">ICLR</w:t>
      </w:r>
      <w:r>
        <w:t xml:space="preserve">, 2021. (arXiv:2009.14794)</w:t>
      </w:r>
    </w:p>
    <w:p>
      <w:pPr>
        <w:pStyle w:val="BodyText"/>
      </w:pPr>
      <w:r>
        <w:t xml:space="preserve">Ainslie J, et al. GQA: Training Generalized Multi-Query Transformer Models.</w:t>
      </w:r>
      <w:r>
        <w:t xml:space="preserve"> </w:t>
      </w:r>
      <w:r>
        <w:rPr>
          <w:i/>
          <w:iCs/>
        </w:rPr>
        <w:t xml:space="preserve">EMNLP</w:t>
      </w:r>
      <w:r>
        <w:t xml:space="preserve">, 2023. (arXiv:2305.13245)</w:t>
      </w:r>
    </w:p>
    <w:p>
      <w:pPr>
        <w:pStyle w:val="BodyText"/>
      </w:pPr>
      <w:r>
        <w:t xml:space="preserve">Sun Y, et al. Retentive Network: A Successor to Transformer.</w:t>
      </w:r>
      <w:r>
        <w:t xml:space="preserve"> </w:t>
      </w:r>
      <w:r>
        <w:rPr>
          <w:i/>
          <w:iCs/>
        </w:rPr>
        <w:t xml:space="preserve">ICML</w:t>
      </w:r>
      <w:r>
        <w:t xml:space="preserve">, 2024. (arXiv:2307.08621)</w:t>
      </w:r>
    </w:p>
    <w:p>
      <w:pPr>
        <w:pStyle w:val="BodyText"/>
      </w:pPr>
      <w:r>
        <w:t xml:space="preserve">Zhou P, et al. RWKV: Reinventing RNNs for Sequence Modeling.</w:t>
      </w:r>
      <w:r>
        <w:t xml:space="preserve"> </w:t>
      </w:r>
      <w:r>
        <w:rPr>
          <w:i/>
          <w:iCs/>
        </w:rPr>
        <w:t xml:space="preserve">arXiv:2305.13048</w:t>
      </w:r>
      <w:r>
        <w:t xml:space="preserve">, 2023.</w:t>
      </w:r>
    </w:p>
    <w:p>
      <w:pPr>
        <w:pStyle w:val="BodyText"/>
      </w:pPr>
      <w:r>
        <w:t xml:space="preserve">Hu E J, et al. LoRA: Low-Rank Adaptation of Large Language Models.</w:t>
      </w:r>
      <w:r>
        <w:t xml:space="preserve"> </w:t>
      </w:r>
      <w:r>
        <w:rPr>
          <w:i/>
          <w:iCs/>
        </w:rPr>
        <w:t xml:space="preserve">ICLR</w:t>
      </w:r>
      <w:r>
        <w:t xml:space="preserve">, 2022.</w:t>
      </w:r>
    </w:p>
    <w:p>
      <w:pPr>
        <w:pStyle w:val="BodyText"/>
      </w:pPr>
      <w:r>
        <w:t xml:space="preserve">Dettmers T, Pagnoni A, Holtzman A, et al. QLoRA: Efficient Finetuning of Quantized LLMs.</w:t>
      </w:r>
      <w:r>
        <w:t xml:space="preserve"> </w:t>
      </w:r>
      <w:r>
        <w:rPr>
          <w:i/>
          <w:iCs/>
        </w:rPr>
        <w:t xml:space="preserve">NeurIPS</w:t>
      </w:r>
      <w:r>
        <w:t xml:space="preserve">, 2023.</w:t>
      </w:r>
    </w:p>
    <w:p>
      <w:pPr>
        <w:pStyle w:val="BodyText"/>
      </w:pPr>
      <w:r>
        <w:t xml:space="preserve">Chen S, et al. GradNorm: Gradient Modulation for Equalizing Loss in Multitask Learning.</w:t>
      </w:r>
      <w:r>
        <w:t xml:space="preserve"> </w:t>
      </w:r>
      <w:r>
        <w:rPr>
          <w:i/>
          <w:iCs/>
        </w:rPr>
        <w:t xml:space="preserve">ICML</w:t>
      </w:r>
      <w:r>
        <w:t xml:space="preserve">, 2018.</w:t>
      </w:r>
    </w:p>
    <w:p>
      <w:pPr>
        <w:pStyle w:val="BodyText"/>
      </w:pPr>
      <w:r>
        <w:t xml:space="preserve">Tishby N, Pereira FC, Bialek W. The Information Bottleneck Method.</w:t>
      </w:r>
      <w:r>
        <w:t xml:space="preserve"> </w:t>
      </w:r>
      <w:r>
        <w:rPr>
          <w:i/>
          <w:iCs/>
        </w:rPr>
        <w:t xml:space="preserve">arXiv:physics/0004057</w:t>
      </w:r>
      <w:r>
        <w:t xml:space="preserve">, 1999.</w:t>
      </w:r>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7" Target="https://github.com/CN-QN1-dalin/dalin-soma-" TargetMode="External" /></Relationships>
</file>

<file path=word/_rels/footnotes.xml.rels><?xml version="1.0" encoding="UTF-8"?><Relationships xmlns="http://schemas.openxmlformats.org/package/2006/relationships"><Relationship Type="http://schemas.openxmlformats.org/officeDocument/2006/relationships/hyperlink" Id="rId37" Target="https://github.com/CN-QN1-dalin/dalin-som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Soma: A Signal Field Native Architecture for Efficient Long-Sequence Processing</dc:title>
  <dc:creator>Dalin Jia Independent Researcher 362118251@qq.com</dc:creator>
  <cp:keywords/>
  <dcterms:created xsi:type="dcterms:W3CDTF">2026-06-15T22:57:43Z</dcterms:created>
  <dcterms:modified xsi:type="dcterms:W3CDTF">2026-06-15T22:57:43Z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Transformer-based large language models suffer from inherent O(n^2) computational complexity and O(n) KV cache memory growth during autoregressive decoding, creating fundamental bottlenecks for long-context deployment. We propose Soma, a signal field native architecture that replaces standard self-attention with a dual-channel mechanism combining near-field precise computation (Ring Buffer) and far-field compressed aggregation (Exponential Moving Average state). Our approach achieves O(k \cdot n) computational complexity and O(k) memory complexity where k is a fixed window size, decoupling both from sequence length n.On Qwen2.5-7B-Instruct (4-bit), Soma achieves 284\times–567\times KV cache compression at 64K sequence (462 KB vs 128–256 MB depending on precision), with Cosine Similarity &gt; 0.9999999 to standard causal attention for t \geq 1 (verified across 7 sequence lengths). The framework adds only \sim8.1–32.8 KB of trainable parameters. Single-token decoding latency is O(1) constant (\sim0.52 ms/step, coefficient of variation 0.63%) in our MLX prototype.We further propose three extensions: (1) Soma Heritage, a distillation framework using signal field attention in student models with progressive layer replacement; (2) Soma Native, a full architecture replacing all Transformer components (attention, FFN, LayerNorm, RoPE) with signal field equivalents; (3) Soma LingYa, a parameter-efficient fine-tuning method achieving 50% parameter reduction versus LoRA at equivalent rank.All experiments reported herein are from MLX Python prototype implementations. Simulated data is explicitly labeled. C++/Metal kernel deployment targets are noted separately from verified results.</vt:lpwstr>
  </property>
  <property fmtid="{D5CDD505-2E9C-101B-9397-08002B2CF9AE}" pid="3" name="date">
    <vt:lpwstr>June 2026 Preprint — Preliminary results, simulation-based experiments included</vt:lpwstr>
  </property>
</Properties>
</file>