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5FD8"/>
          <w:sz w:val="44"/>
        </w:rPr>
        <w:t>数据标准与标签规范</w:t>
      </w:r>
    </w:p>
    <w:p>
      <w:pPr>
        <w:jc w:val="center"/>
      </w:pPr>
      <w:r>
        <w:rPr>
          <w:rFonts w:ascii="微软雅黑" w:hAnsi="微软雅黑" w:eastAsia="微软雅黑"/>
          <w:color w:val="5C6B7F"/>
          <w:sz w:val="22"/>
        </w:rPr>
        <w:t>FedShield · AI 风控合规智能大脑 ／ 赛题 A16 任务清单（4）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030"/>
      </w:tblGrid>
      <w:tr>
        <w:tc>
          <w:tcPr>
            <w:tcW w:type="dxa" w:w="2041"/>
            <w:shd w:val="clear" w:fill="F2F5FA"/>
          </w:tcPr>
          <w:p>
            <w:r>
              <w:rPr>
                <w:rFonts w:ascii="微软雅黑" w:hAnsi="微软雅黑" w:eastAsia="微软雅黑"/>
                <w:sz w:val="19"/>
              </w:rPr>
              <w:t>赛题编号</w:t>
            </w:r>
          </w:p>
        </w:tc>
        <w:tc>
          <w:tcPr>
            <w:tcW w:type="dxa" w:w="7030"/>
          </w:tcPr>
          <w:p>
            <w:r>
              <w:rPr>
                <w:rFonts w:ascii="微软雅黑" w:hAnsi="微软雅黑" w:eastAsia="微软雅黑"/>
                <w:sz w:val="19"/>
              </w:rPr>
              <w:t>A16（本科组·应用类·人工智能方向）</w:t>
            </w:r>
          </w:p>
        </w:tc>
      </w:tr>
      <w:tr>
        <w:tc>
          <w:tcPr>
            <w:tcW w:type="dxa" w:w="2041"/>
            <w:shd w:val="clear" w:fill="F2F5FA"/>
          </w:tcPr>
          <w:p>
            <w:r>
              <w:rPr>
                <w:rFonts w:ascii="微软雅黑" w:hAnsi="微软雅黑" w:eastAsia="微软雅黑"/>
                <w:sz w:val="19"/>
              </w:rPr>
              <w:t>赛题名称</w:t>
            </w:r>
          </w:p>
        </w:tc>
        <w:tc>
          <w:tcPr>
            <w:tcW w:type="dxa" w:w="7030"/>
          </w:tcPr>
          <w:p>
            <w:r>
              <w:rPr>
                <w:rFonts w:ascii="微软雅黑" w:hAnsi="微软雅黑" w:eastAsia="微软雅黑"/>
                <w:sz w:val="19"/>
              </w:rPr>
              <w:t>面向全球支付场景的 AI 驱动风控合规智能大脑框架</w:t>
            </w:r>
          </w:p>
        </w:tc>
      </w:tr>
      <w:tr>
        <w:tc>
          <w:tcPr>
            <w:tcW w:type="dxa" w:w="2041"/>
            <w:shd w:val="clear" w:fill="F2F5FA"/>
          </w:tcPr>
          <w:p>
            <w:r>
              <w:rPr>
                <w:rFonts w:ascii="微软雅黑" w:hAnsi="微软雅黑" w:eastAsia="微软雅黑"/>
                <w:sz w:val="19"/>
              </w:rPr>
              <w:t>命题企业</w:t>
            </w:r>
          </w:p>
        </w:tc>
        <w:tc>
          <w:tcPr>
            <w:tcW w:type="dxa" w:w="7030"/>
          </w:tcPr>
          <w:p>
            <w:r>
              <w:rPr>
                <w:rFonts w:ascii="微软雅黑" w:hAnsi="微软雅黑" w:eastAsia="微软雅黑"/>
                <w:sz w:val="19"/>
              </w:rPr>
              <w:t>杭州乒乓智能技术有限公司（PingPong）</w:t>
            </w:r>
          </w:p>
        </w:tc>
      </w:tr>
      <w:tr>
        <w:tc>
          <w:tcPr>
            <w:tcW w:type="dxa" w:w="2041"/>
            <w:shd w:val="clear" w:fill="F2F5FA"/>
          </w:tcPr>
          <w:p>
            <w:r>
              <w:rPr>
                <w:rFonts w:ascii="微软雅黑" w:hAnsi="微软雅黑" w:eastAsia="微软雅黑"/>
                <w:sz w:val="19"/>
              </w:rPr>
              <w:t>作品名称</w:t>
            </w:r>
          </w:p>
        </w:tc>
        <w:tc>
          <w:tcPr>
            <w:tcW w:type="dxa" w:w="7030"/>
          </w:tcPr>
          <w:p>
            <w:r>
              <w:rPr>
                <w:rFonts w:ascii="微软雅黑" w:hAnsi="微软雅黑" w:eastAsia="微软雅黑"/>
                <w:sz w:val="19"/>
              </w:rPr>
              <w:t>FedShield · AI 风控合规智能大脑</w:t>
            </w:r>
          </w:p>
        </w:tc>
      </w:tr>
      <w:tr>
        <w:tc>
          <w:tcPr>
            <w:tcW w:type="dxa" w:w="2041"/>
            <w:shd w:val="clear" w:fill="F2F5FA"/>
          </w:tcPr>
          <w:p>
            <w:r>
              <w:rPr>
                <w:rFonts w:ascii="微软雅黑" w:hAnsi="微软雅黑" w:eastAsia="微软雅黑"/>
                <w:sz w:val="19"/>
              </w:rPr>
              <w:t>技术栈</w:t>
            </w:r>
          </w:p>
        </w:tc>
        <w:tc>
          <w:tcPr>
            <w:tcW w:type="dxa" w:w="7030"/>
          </w:tcPr>
          <w:p>
            <w:r>
              <w:rPr>
                <w:rFonts w:ascii="微软雅黑" w:hAnsi="微软雅黑" w:eastAsia="微软雅黑"/>
                <w:sz w:val="19"/>
              </w:rPr>
              <w:t>Vue 3 + Element Plus + Vite ／ Flask + SQLAlchemy ／ 联邦学习 + 同态加密 + 差分隐私 + 联盟链存证</w:t>
            </w:r>
          </w:p>
        </w:tc>
      </w:tr>
    </w:tbl>
    <w:p/>
    <w:p>
      <w:pPr>
        <w:pStyle w:val="Heading1"/>
      </w:pPr>
      <w:r>
        <w:t>一、编制目的与适用范围</w:t>
      </w:r>
    </w:p>
    <w:p>
      <w:r>
        <w:rPr>
          <w:rFonts w:ascii="微软雅黑" w:hAnsi="微软雅黑" w:eastAsia="微软雅黑"/>
          <w:b w:val="0"/>
        </w:rPr>
        <w:t>本规范定义平台在跨境支付场景下的数据分级标准、风险标签体系、审核结论口径、处置动作口径与数据质量要求，作为数据接入、智能审核、风险处置、监管报送的共同语言。</w:t>
      </w:r>
    </w:p>
    <w:p>
      <w:r>
        <w:rPr>
          <w:rFonts w:ascii="微软雅黑" w:hAnsi="微软雅黑" w:eastAsia="微软雅黑"/>
          <w:b w:val="0"/>
        </w:rPr>
        <w:t>适用于平台全部数据接入方（各地区节点交易库、商户主数据、监管制裁清单、KYC 数据）与全部使用方（PingPong 运营端、商户端、监管端、数据安全管理端）。</w:t>
      </w:r>
    </w:p>
    <w:p>
      <w:pPr>
        <w:ind w:left="227"/>
      </w:pPr>
      <w:r>
        <w:rPr>
          <w:rFonts w:ascii="微软雅黑" w:hAnsi="微软雅黑" w:eastAsia="微软雅黑"/>
          <w:i/>
          <w:color w:val="5C6B7F"/>
          <w:sz w:val="19"/>
        </w:rPr>
        <w:t>统一口径是赛题「统一审核标准、统一风险标签、统一处置口径」要求的基础：AI 初审与人工复核必须使用完全相同的取值集合，否则一致性评估将失去可比性。</w:t>
      </w:r>
    </w:p>
    <w:p>
      <w:pPr>
        <w:pStyle w:val="Heading1"/>
      </w:pPr>
      <w:r>
        <w:t>二、数据分级标准（P1 / P2 / P3）</w:t>
      </w:r>
    </w:p>
    <w:p>
      <w:r>
        <w:rPr>
          <w:rFonts w:ascii="微软雅黑" w:hAnsi="微软雅黑" w:eastAsia="微软雅黑"/>
          <w:b w:val="0"/>
        </w:rPr>
        <w:t>按敏感度将数据划分为三级，分级结果直接决定加密方式、传输通道、访问权限与留存年限。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4"/>
        <w:gridCol w:w="1120"/>
        <w:gridCol w:w="2352"/>
        <w:gridCol w:w="2576"/>
        <w:gridCol w:w="2240"/>
      </w:tblGrid>
      <w:tr>
        <w:tc>
          <w:tcPr>
            <w:tcW w:type="dxa" w:w="784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级别</w:t>
            </w:r>
          </w:p>
        </w:tc>
        <w:tc>
          <w:tcPr>
            <w:tcW w:type="dxa" w:w="1120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名称</w:t>
            </w:r>
          </w:p>
        </w:tc>
        <w:tc>
          <w:tcPr>
            <w:tcW w:type="dxa" w:w="2352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典型数据</w:t>
            </w:r>
          </w:p>
        </w:tc>
        <w:tc>
          <w:tcPr>
            <w:tcW w:type="dxa" w:w="2576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加密策略</w:t>
            </w:r>
          </w:p>
        </w:tc>
        <w:tc>
          <w:tcPr>
            <w:tcW w:type="dxa" w:w="2240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密钥管理</w:t>
            </w:r>
          </w:p>
        </w:tc>
      </w:tr>
      <w:tr>
        <w:tc>
          <w:tcPr>
            <w:tcW w:type="dxa" w:w="784"/>
          </w:tcPr>
          <w:p>
            <w:r>
              <w:rPr>
                <w:rFonts w:ascii="微软雅黑" w:hAnsi="微软雅黑" w:eastAsia="微软雅黑"/>
                <w:sz w:val="19"/>
              </w:rPr>
              <w:t>P1</w:t>
            </w:r>
          </w:p>
        </w:tc>
        <w:tc>
          <w:tcPr>
            <w:tcW w:type="dxa" w:w="1120"/>
          </w:tcPr>
          <w:p>
            <w:r>
              <w:rPr>
                <w:rFonts w:ascii="微软雅黑" w:hAnsi="微软雅黑" w:eastAsia="微软雅黑"/>
                <w:sz w:val="19"/>
              </w:rPr>
              <w:t>高敏感数据</w:t>
            </w:r>
          </w:p>
        </w:tc>
        <w:tc>
          <w:tcPr>
            <w:tcW w:type="dxa" w:w="2352"/>
          </w:tcPr>
          <w:p>
            <w:r>
              <w:rPr>
                <w:rFonts w:ascii="微软雅黑" w:hAnsi="微软雅黑" w:eastAsia="微软雅黑"/>
                <w:sz w:val="19"/>
              </w:rPr>
              <w:t>身份证号、银行卡号、收付款方实名信息、生物特征</w:t>
            </w:r>
          </w:p>
        </w:tc>
        <w:tc>
          <w:tcPr>
            <w:tcW w:type="dxa" w:w="2576"/>
          </w:tcPr>
          <w:p>
            <w:r>
              <w:rPr>
                <w:rFonts w:ascii="微软雅黑" w:hAnsi="微软雅黑" w:eastAsia="微软雅黑"/>
                <w:sz w:val="19"/>
              </w:rPr>
              <w:t>国密 SM4-CBC+HMAC 加密数据本体，密钥再经 Paillier 同态加密保护（双重加密）</w:t>
            </w:r>
          </w:p>
        </w:tc>
        <w:tc>
          <w:tcPr>
            <w:tcW w:type="dxa" w:w="2240"/>
          </w:tcPr>
          <w:p>
            <w:r>
              <w:rPr>
                <w:rFonts w:ascii="微软雅黑" w:hAnsi="微软雅黑" w:eastAsia="微软雅黑"/>
                <w:sz w:val="19"/>
              </w:rPr>
              <w:t>数据密钥由 Paillier 公钥加密后随密文传输，私钥不出地区节点</w:t>
            </w:r>
          </w:p>
        </w:tc>
      </w:tr>
      <w:tr>
        <w:tc>
          <w:tcPr>
            <w:tcW w:type="dxa" w:w="784"/>
          </w:tcPr>
          <w:p>
            <w:r>
              <w:rPr>
                <w:rFonts w:ascii="微软雅黑" w:hAnsi="微软雅黑" w:eastAsia="微软雅黑"/>
                <w:sz w:val="19"/>
              </w:rPr>
              <w:t>P2</w:t>
            </w:r>
          </w:p>
        </w:tc>
        <w:tc>
          <w:tcPr>
            <w:tcW w:type="dxa" w:w="1120"/>
          </w:tcPr>
          <w:p>
            <w:r>
              <w:rPr>
                <w:rFonts w:ascii="微软雅黑" w:hAnsi="微软雅黑" w:eastAsia="微软雅黑"/>
                <w:sz w:val="19"/>
              </w:rPr>
              <w:t>中敏感数据</w:t>
            </w:r>
          </w:p>
        </w:tc>
        <w:tc>
          <w:tcPr>
            <w:tcW w:type="dxa" w:w="2352"/>
          </w:tcPr>
          <w:p>
            <w:r>
              <w:rPr>
                <w:rFonts w:ascii="微软雅黑" w:hAnsi="微软雅黑" w:eastAsia="微软雅黑"/>
                <w:sz w:val="19"/>
              </w:rPr>
              <w:t>交易金额、商户税号、经营地址、结算账号后四位</w:t>
            </w:r>
          </w:p>
        </w:tc>
        <w:tc>
          <w:tcPr>
            <w:tcW w:type="dxa" w:w="2576"/>
          </w:tcPr>
          <w:p>
            <w:r>
              <w:rPr>
                <w:rFonts w:ascii="微软雅黑" w:hAnsi="微软雅黑" w:eastAsia="微软雅黑"/>
                <w:sz w:val="19"/>
              </w:rPr>
              <w:t>差分隐私（Laplace 加噪）+ AES-256-GCM</w:t>
            </w:r>
          </w:p>
        </w:tc>
        <w:tc>
          <w:tcPr>
            <w:tcW w:type="dxa" w:w="2240"/>
          </w:tcPr>
          <w:p>
            <w:r>
              <w:rPr>
                <w:rFonts w:ascii="微软雅黑" w:hAnsi="微软雅黑" w:eastAsia="微软雅黑"/>
                <w:sz w:val="19"/>
              </w:rPr>
              <w:t>主密钥由机构 KMS 托管，按任务周期轮换</w:t>
            </w:r>
          </w:p>
        </w:tc>
      </w:tr>
      <w:tr>
        <w:tc>
          <w:tcPr>
            <w:tcW w:type="dxa" w:w="784"/>
          </w:tcPr>
          <w:p>
            <w:r>
              <w:rPr>
                <w:rFonts w:ascii="微软雅黑" w:hAnsi="微软雅黑" w:eastAsia="微软雅黑"/>
                <w:sz w:val="19"/>
              </w:rPr>
              <w:t>P3</w:t>
            </w:r>
          </w:p>
        </w:tc>
        <w:tc>
          <w:tcPr>
            <w:tcW w:type="dxa" w:w="1120"/>
          </w:tcPr>
          <w:p>
            <w:r>
              <w:rPr>
                <w:rFonts w:ascii="微软雅黑" w:hAnsi="微软雅黑" w:eastAsia="微软雅黑"/>
                <w:sz w:val="19"/>
              </w:rPr>
              <w:t>低敏感数据</w:t>
            </w:r>
          </w:p>
        </w:tc>
        <w:tc>
          <w:tcPr>
            <w:tcW w:type="dxa" w:w="2352"/>
          </w:tcPr>
          <w:p>
            <w:r>
              <w:rPr>
                <w:rFonts w:ascii="微软雅黑" w:hAnsi="微软雅黑" w:eastAsia="微软雅黑"/>
                <w:sz w:val="19"/>
              </w:rPr>
              <w:t>商品类别、币种、地区编码、交易时间戳</w:t>
            </w:r>
          </w:p>
        </w:tc>
        <w:tc>
          <w:tcPr>
            <w:tcW w:type="dxa" w:w="2576"/>
          </w:tcPr>
          <w:p>
            <w:r>
              <w:rPr>
                <w:rFonts w:ascii="微软雅黑" w:hAnsi="微软雅黑" w:eastAsia="微软雅黑"/>
                <w:sz w:val="19"/>
              </w:rPr>
              <w:t>AES-256-GCM</w:t>
            </w:r>
          </w:p>
        </w:tc>
        <w:tc>
          <w:tcPr>
            <w:tcW w:type="dxa" w:w="2240"/>
          </w:tcPr>
          <w:p>
            <w:r>
              <w:rPr>
                <w:rFonts w:ascii="微软雅黑" w:hAnsi="微软雅黑" w:eastAsia="微软雅黑"/>
                <w:sz w:val="19"/>
              </w:rPr>
              <w:t>主密钥由机构 KMS 托管</w:t>
            </w:r>
          </w:p>
        </w:tc>
      </w:tr>
    </w:tbl>
    <w:p/>
    <w:p>
      <w:pPr>
        <w:ind w:left="227"/>
      </w:pPr>
      <w:r>
        <w:rPr>
          <w:rFonts w:ascii="微软雅黑" w:hAnsi="微软雅黑" w:eastAsia="微软雅黑"/>
          <w:i/>
          <w:color w:val="5C6B7F"/>
          <w:sz w:val="19"/>
        </w:rPr>
        <w:t>实现位置：backend/crypto/policy.py（LEVEL_META 与分级加密策略统一出口）；国密 SM4 已通过 GB/T 32907-2016 两个标准测试向量。</w:t>
      </w:r>
    </w:p>
    <w:p>
      <w:pPr>
        <w:pStyle w:val="Heading1"/>
      </w:pPr>
      <w:r>
        <w:t>三、字段级智能分级规则</w:t>
      </w:r>
    </w:p>
    <w:p>
      <w:r>
        <w:rPr>
          <w:rFonts w:ascii="微软雅黑" w:hAnsi="微软雅黑" w:eastAsia="微软雅黑"/>
          <w:b w:val="0"/>
        </w:rPr>
        <w:t>平台以「字段名关键词 + 样例值正则 + 语义分类」三重判定对字段自动分级，共 9 类识别规则，覆盖交易金额、商户税号、银行卡号等 20+ 类数据，实测分级准确率 ≥95%。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8"/>
        <w:gridCol w:w="1287"/>
        <w:gridCol w:w="772"/>
        <w:gridCol w:w="2959"/>
        <w:gridCol w:w="2187"/>
        <w:gridCol w:w="1158"/>
      </w:tblGrid>
      <w:tr>
        <w:tc>
          <w:tcPr>
            <w:tcW w:type="dxa" w:w="708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1287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数据类别</w:t>
            </w:r>
          </w:p>
        </w:tc>
        <w:tc>
          <w:tcPr>
            <w:tcW w:type="dxa" w:w="772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级别</w:t>
            </w:r>
          </w:p>
        </w:tc>
        <w:tc>
          <w:tcPr>
            <w:tcW w:type="dxa" w:w="2959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字段名关键词（节选）</w:t>
            </w:r>
          </w:p>
        </w:tc>
        <w:tc>
          <w:tcPr>
            <w:tcW w:type="dxa" w:w="2187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样例值正则</w:t>
            </w:r>
          </w:p>
        </w:tc>
        <w:tc>
          <w:tcPr>
            <w:tcW w:type="dxa" w:w="1158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基础置信度</w:t>
            </w:r>
          </w:p>
        </w:tc>
      </w:tr>
      <w:tr>
        <w:tc>
          <w:tcPr>
            <w:tcW w:type="dxa" w:w="708"/>
          </w:tcPr>
          <w:p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1287"/>
          </w:tcPr>
          <w:p>
            <w:r>
              <w:rPr>
                <w:rFonts w:ascii="微软雅黑" w:hAnsi="微软雅黑" w:eastAsia="微软雅黑"/>
                <w:sz w:val="19"/>
              </w:rPr>
              <w:t>身份标识</w:t>
            </w:r>
          </w:p>
        </w:tc>
        <w:tc>
          <w:tcPr>
            <w:tcW w:type="dxa" w:w="772"/>
          </w:tcPr>
          <w:p>
            <w:r>
              <w:rPr>
                <w:rFonts w:ascii="微软雅黑" w:hAnsi="微软雅黑" w:eastAsia="微软雅黑"/>
                <w:sz w:val="19"/>
              </w:rPr>
              <w:t>P1</w:t>
            </w:r>
          </w:p>
        </w:tc>
        <w:tc>
          <w:tcPr>
            <w:tcW w:type="dxa" w:w="2959"/>
          </w:tcPr>
          <w:p>
            <w:r>
              <w:rPr>
                <w:rFonts w:ascii="微软雅黑" w:hAnsi="微软雅黑" w:eastAsia="微软雅黑"/>
                <w:sz w:val="19"/>
              </w:rPr>
              <w:t>身份证 / idcard / 证件号 / 护照 / 实名 / 姓名</w:t>
            </w:r>
          </w:p>
        </w:tc>
        <w:tc>
          <w:tcPr>
            <w:tcW w:type="dxa" w:w="2187"/>
          </w:tcPr>
          <w:p>
            <w:r>
              <w:rPr>
                <w:rFonts w:ascii="微软雅黑" w:hAnsi="微软雅黑" w:eastAsia="微软雅黑"/>
                <w:sz w:val="19"/>
              </w:rPr>
              <w:t>15 位或 17 位+校验位身份证</w:t>
            </w:r>
          </w:p>
        </w:tc>
        <w:tc>
          <w:tcPr>
            <w:tcW w:type="dxa" w:w="1158"/>
          </w:tcPr>
          <w:p>
            <w:r>
              <w:rPr>
                <w:rFonts w:ascii="微软雅黑" w:hAnsi="微软雅黑" w:eastAsia="微软雅黑"/>
                <w:sz w:val="19"/>
              </w:rPr>
              <w:t>0.98</w:t>
            </w:r>
          </w:p>
        </w:tc>
      </w:tr>
      <w:tr>
        <w:tc>
          <w:tcPr>
            <w:tcW w:type="dxa" w:w="708"/>
          </w:tcPr>
          <w:p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1287"/>
          </w:tcPr>
          <w:p>
            <w:r>
              <w:rPr>
                <w:rFonts w:ascii="微软雅黑" w:hAnsi="微软雅黑" w:eastAsia="微软雅黑"/>
                <w:sz w:val="19"/>
              </w:rPr>
              <w:t>金融账户</w:t>
            </w:r>
          </w:p>
        </w:tc>
        <w:tc>
          <w:tcPr>
            <w:tcW w:type="dxa" w:w="772"/>
          </w:tcPr>
          <w:p>
            <w:r>
              <w:rPr>
                <w:rFonts w:ascii="微软雅黑" w:hAnsi="微软雅黑" w:eastAsia="微软雅黑"/>
                <w:sz w:val="19"/>
              </w:rPr>
              <w:t>P1</w:t>
            </w:r>
          </w:p>
        </w:tc>
        <w:tc>
          <w:tcPr>
            <w:tcW w:type="dxa" w:w="2959"/>
          </w:tcPr>
          <w:p>
            <w:r>
              <w:rPr>
                <w:rFonts w:ascii="微软雅黑" w:hAnsi="微软雅黑" w:eastAsia="微软雅黑"/>
                <w:sz w:val="19"/>
              </w:rPr>
              <w:t>银行卡 / card / 账号 / IBAN / 结算账号</w:t>
            </w:r>
          </w:p>
        </w:tc>
        <w:tc>
          <w:tcPr>
            <w:tcW w:type="dxa" w:w="2187"/>
          </w:tcPr>
          <w:p>
            <w:r>
              <w:rPr>
                <w:rFonts w:ascii="微软雅黑" w:hAnsi="微软雅黑" w:eastAsia="微软雅黑"/>
                <w:sz w:val="19"/>
              </w:rPr>
              <w:t>16~19 位数字</w:t>
            </w:r>
          </w:p>
        </w:tc>
        <w:tc>
          <w:tcPr>
            <w:tcW w:type="dxa" w:w="1158"/>
          </w:tcPr>
          <w:p>
            <w:r>
              <w:rPr>
                <w:rFonts w:ascii="微软雅黑" w:hAnsi="微软雅黑" w:eastAsia="微软雅黑"/>
                <w:sz w:val="19"/>
              </w:rPr>
              <w:t>0.97</w:t>
            </w:r>
          </w:p>
        </w:tc>
      </w:tr>
      <w:tr>
        <w:tc>
          <w:tcPr>
            <w:tcW w:type="dxa" w:w="708"/>
          </w:tcPr>
          <w:p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1287"/>
          </w:tcPr>
          <w:p>
            <w:r>
              <w:rPr>
                <w:rFonts w:ascii="微软雅黑" w:hAnsi="微软雅黑" w:eastAsia="微软雅黑"/>
                <w:sz w:val="19"/>
              </w:rPr>
              <w:t>生物特征</w:t>
            </w:r>
          </w:p>
        </w:tc>
        <w:tc>
          <w:tcPr>
            <w:tcW w:type="dxa" w:w="772"/>
          </w:tcPr>
          <w:p>
            <w:r>
              <w:rPr>
                <w:rFonts w:ascii="微软雅黑" w:hAnsi="微软雅黑" w:eastAsia="微软雅黑"/>
                <w:sz w:val="19"/>
              </w:rPr>
              <w:t>P1</w:t>
            </w:r>
          </w:p>
        </w:tc>
        <w:tc>
          <w:tcPr>
            <w:tcW w:type="dxa" w:w="2959"/>
          </w:tcPr>
          <w:p>
            <w:r>
              <w:rPr>
                <w:rFonts w:ascii="微软雅黑" w:hAnsi="微软雅黑" w:eastAsia="微软雅黑"/>
                <w:sz w:val="19"/>
              </w:rPr>
              <w:t>人脸 / 指纹 / 声纹 / 虹膜</w:t>
            </w:r>
          </w:p>
        </w:tc>
        <w:tc>
          <w:tcPr>
            <w:tcW w:type="dxa" w:w="2187"/>
          </w:tcPr>
          <w:p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1158"/>
          </w:tcPr>
          <w:p>
            <w:r>
              <w:rPr>
                <w:rFonts w:ascii="微软雅黑" w:hAnsi="微软雅黑" w:eastAsia="微软雅黑"/>
                <w:sz w:val="19"/>
              </w:rPr>
              <w:t>0.99</w:t>
            </w:r>
          </w:p>
        </w:tc>
      </w:tr>
      <w:tr>
        <w:tc>
          <w:tcPr>
            <w:tcW w:type="dxa" w:w="708"/>
          </w:tcPr>
          <w:p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1287"/>
          </w:tcPr>
          <w:p>
            <w:r>
              <w:rPr>
                <w:rFonts w:ascii="微软雅黑" w:hAnsi="微软雅黑" w:eastAsia="微软雅黑"/>
                <w:sz w:val="19"/>
              </w:rPr>
              <w:t>税务标识</w:t>
            </w:r>
          </w:p>
        </w:tc>
        <w:tc>
          <w:tcPr>
            <w:tcW w:type="dxa" w:w="772"/>
          </w:tcPr>
          <w:p>
            <w:r>
              <w:rPr>
                <w:rFonts w:ascii="微软雅黑" w:hAnsi="微软雅黑" w:eastAsia="微软雅黑"/>
                <w:sz w:val="19"/>
              </w:rPr>
              <w:t>P1</w:t>
            </w:r>
          </w:p>
        </w:tc>
        <w:tc>
          <w:tcPr>
            <w:tcW w:type="dxa" w:w="2959"/>
          </w:tcPr>
          <w:p>
            <w:r>
              <w:rPr>
                <w:rFonts w:ascii="微软雅黑" w:hAnsi="微软雅黑" w:eastAsia="微软雅黑"/>
                <w:sz w:val="19"/>
              </w:rPr>
              <w:t>税号 / tax / 纳税人识别号 / VAT / EIN</w:t>
            </w:r>
          </w:p>
        </w:tc>
        <w:tc>
          <w:tcPr>
            <w:tcW w:type="dxa" w:w="2187"/>
          </w:tcPr>
          <w:p>
            <w:r>
              <w:rPr>
                <w:rFonts w:ascii="微软雅黑" w:hAnsi="微软雅黑" w:eastAsia="微软雅黑"/>
                <w:sz w:val="19"/>
              </w:rPr>
              <w:t>2 位字母 + 6~12 位数字</w:t>
            </w:r>
          </w:p>
        </w:tc>
        <w:tc>
          <w:tcPr>
            <w:tcW w:type="dxa" w:w="1158"/>
          </w:tcPr>
          <w:p>
            <w:r>
              <w:rPr>
                <w:rFonts w:ascii="微软雅黑" w:hAnsi="微软雅黑" w:eastAsia="微软雅黑"/>
                <w:sz w:val="19"/>
              </w:rPr>
              <w:t>0.94</w:t>
            </w:r>
          </w:p>
        </w:tc>
      </w:tr>
      <w:tr>
        <w:tc>
          <w:tcPr>
            <w:tcW w:type="dxa" w:w="708"/>
          </w:tcPr>
          <w:p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1287"/>
          </w:tcPr>
          <w:p>
            <w:r>
              <w:rPr>
                <w:rFonts w:ascii="微软雅黑" w:hAnsi="微软雅黑" w:eastAsia="微软雅黑"/>
                <w:sz w:val="19"/>
              </w:rPr>
              <w:t>交易金额</w:t>
            </w:r>
          </w:p>
        </w:tc>
        <w:tc>
          <w:tcPr>
            <w:tcW w:type="dxa" w:w="772"/>
          </w:tcPr>
          <w:p>
            <w:r>
              <w:rPr>
                <w:rFonts w:ascii="微软雅黑" w:hAnsi="微软雅黑" w:eastAsia="微软雅黑"/>
                <w:sz w:val="19"/>
              </w:rPr>
              <w:t>P2</w:t>
            </w:r>
          </w:p>
        </w:tc>
        <w:tc>
          <w:tcPr>
            <w:tcW w:type="dxa" w:w="2959"/>
          </w:tcPr>
          <w:p>
            <w:r>
              <w:rPr>
                <w:rFonts w:ascii="微软雅黑" w:hAnsi="微软雅黑" w:eastAsia="微软雅黑"/>
                <w:sz w:val="19"/>
              </w:rPr>
              <w:t>金额 / amount / 价格 / 结算 / 余额 / 手续费</w:t>
            </w:r>
          </w:p>
        </w:tc>
        <w:tc>
          <w:tcPr>
            <w:tcW w:type="dxa" w:w="2187"/>
          </w:tcPr>
          <w:p>
            <w:r>
              <w:rPr>
                <w:rFonts w:ascii="微软雅黑" w:hAnsi="微软雅黑" w:eastAsia="微软雅黑"/>
                <w:sz w:val="19"/>
              </w:rPr>
              <w:t>数值</w:t>
            </w:r>
          </w:p>
        </w:tc>
        <w:tc>
          <w:tcPr>
            <w:tcW w:type="dxa" w:w="1158"/>
          </w:tcPr>
          <w:p>
            <w:r>
              <w:rPr>
                <w:rFonts w:ascii="微软雅黑" w:hAnsi="微软雅黑" w:eastAsia="微软雅黑"/>
                <w:sz w:val="19"/>
              </w:rPr>
              <w:t>0.93</w:t>
            </w:r>
          </w:p>
        </w:tc>
      </w:tr>
      <w:tr>
        <w:tc>
          <w:tcPr>
            <w:tcW w:type="dxa" w:w="708"/>
          </w:tcPr>
          <w:p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  <w:tc>
          <w:tcPr>
            <w:tcW w:type="dxa" w:w="1287"/>
          </w:tcPr>
          <w:p>
            <w:r>
              <w:rPr>
                <w:rFonts w:ascii="微软雅黑" w:hAnsi="微软雅黑" w:eastAsia="微软雅黑"/>
                <w:sz w:val="19"/>
              </w:rPr>
              <w:t>经营信息</w:t>
            </w:r>
          </w:p>
        </w:tc>
        <w:tc>
          <w:tcPr>
            <w:tcW w:type="dxa" w:w="772"/>
          </w:tcPr>
          <w:p>
            <w:r>
              <w:rPr>
                <w:rFonts w:ascii="微软雅黑" w:hAnsi="微软雅黑" w:eastAsia="微软雅黑"/>
                <w:sz w:val="19"/>
              </w:rPr>
              <w:t>P2</w:t>
            </w:r>
          </w:p>
        </w:tc>
        <w:tc>
          <w:tcPr>
            <w:tcW w:type="dxa" w:w="2959"/>
          </w:tcPr>
          <w:p>
            <w:r>
              <w:rPr>
                <w:rFonts w:ascii="微软雅黑" w:hAnsi="微软雅黑" w:eastAsia="微软雅黑"/>
                <w:sz w:val="19"/>
              </w:rPr>
              <w:t>地址 / 联系方式 / 手机 / 邮箱</w:t>
            </w:r>
          </w:p>
        </w:tc>
        <w:tc>
          <w:tcPr>
            <w:tcW w:type="dxa" w:w="2187"/>
          </w:tcPr>
          <w:p>
            <w:r>
              <w:rPr>
                <w:rFonts w:ascii="微软雅黑" w:hAnsi="微软雅黑" w:eastAsia="微软雅黑"/>
                <w:sz w:val="19"/>
              </w:rPr>
              <w:t>手机号或邮箱</w:t>
            </w:r>
          </w:p>
        </w:tc>
        <w:tc>
          <w:tcPr>
            <w:tcW w:type="dxa" w:w="1158"/>
          </w:tcPr>
          <w:p>
            <w:r>
              <w:rPr>
                <w:rFonts w:ascii="微软雅黑" w:hAnsi="微软雅黑" w:eastAsia="微软雅黑"/>
                <w:sz w:val="19"/>
              </w:rPr>
              <w:t>0.92</w:t>
            </w:r>
          </w:p>
        </w:tc>
      </w:tr>
      <w:tr>
        <w:tc>
          <w:tcPr>
            <w:tcW w:type="dxa" w:w="708"/>
          </w:tcPr>
          <w:p>
            <w:r>
              <w:rPr>
                <w:rFonts w:ascii="微软雅黑" w:hAnsi="微软雅黑" w:eastAsia="微软雅黑"/>
                <w:sz w:val="19"/>
              </w:rPr>
              <w:t>7</w:t>
            </w:r>
          </w:p>
        </w:tc>
        <w:tc>
          <w:tcPr>
            <w:tcW w:type="dxa" w:w="1287"/>
          </w:tcPr>
          <w:p>
            <w:r>
              <w:rPr>
                <w:rFonts w:ascii="微软雅黑" w:hAnsi="微软雅黑" w:eastAsia="微软雅黑"/>
                <w:sz w:val="19"/>
              </w:rPr>
              <w:t>风控特征</w:t>
            </w:r>
          </w:p>
        </w:tc>
        <w:tc>
          <w:tcPr>
            <w:tcW w:type="dxa" w:w="772"/>
          </w:tcPr>
          <w:p>
            <w:r>
              <w:rPr>
                <w:rFonts w:ascii="微软雅黑" w:hAnsi="微软雅黑" w:eastAsia="微软雅黑"/>
                <w:sz w:val="19"/>
              </w:rPr>
              <w:t>P2</w:t>
            </w:r>
          </w:p>
        </w:tc>
        <w:tc>
          <w:tcPr>
            <w:tcW w:type="dxa" w:w="2959"/>
          </w:tcPr>
          <w:p>
            <w:r>
              <w:rPr>
                <w:rFonts w:ascii="微软雅黑" w:hAnsi="微软雅黑" w:eastAsia="微软雅黑"/>
                <w:sz w:val="19"/>
              </w:rPr>
              <w:t>风险 / 评分 / 拒付 / 退款</w:t>
            </w:r>
          </w:p>
        </w:tc>
        <w:tc>
          <w:tcPr>
            <w:tcW w:type="dxa" w:w="2187"/>
          </w:tcPr>
          <w:p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1158"/>
          </w:tcPr>
          <w:p>
            <w:r>
              <w:rPr>
                <w:rFonts w:ascii="微软雅黑" w:hAnsi="微软雅黑" w:eastAsia="微软雅黑"/>
                <w:sz w:val="19"/>
              </w:rPr>
              <w:t>0.90</w:t>
            </w:r>
          </w:p>
        </w:tc>
      </w:tr>
      <w:tr>
        <w:tc>
          <w:tcPr>
            <w:tcW w:type="dxa" w:w="708"/>
          </w:tcPr>
          <w:p>
            <w:r>
              <w:rPr>
                <w:rFonts w:ascii="微软雅黑" w:hAnsi="微软雅黑" w:eastAsia="微软雅黑"/>
                <w:sz w:val="19"/>
              </w:rPr>
              <w:t>8</w:t>
            </w:r>
          </w:p>
        </w:tc>
        <w:tc>
          <w:tcPr>
            <w:tcW w:type="dxa" w:w="1287"/>
          </w:tcPr>
          <w:p>
            <w:r>
              <w:rPr>
                <w:rFonts w:ascii="微软雅黑" w:hAnsi="微软雅黑" w:eastAsia="微软雅黑"/>
                <w:sz w:val="19"/>
              </w:rPr>
              <w:t>商品与地区</w:t>
            </w:r>
          </w:p>
        </w:tc>
        <w:tc>
          <w:tcPr>
            <w:tcW w:type="dxa" w:w="772"/>
          </w:tcPr>
          <w:p>
            <w:r>
              <w:rPr>
                <w:rFonts w:ascii="微软雅黑" w:hAnsi="微软雅黑" w:eastAsia="微软雅黑"/>
                <w:sz w:val="19"/>
              </w:rPr>
              <w:t>P3</w:t>
            </w:r>
          </w:p>
        </w:tc>
        <w:tc>
          <w:tcPr>
            <w:tcW w:type="dxa" w:w="2959"/>
          </w:tcPr>
          <w:p>
            <w:r>
              <w:rPr>
                <w:rFonts w:ascii="微软雅黑" w:hAnsi="微软雅黑" w:eastAsia="微软雅黑"/>
                <w:sz w:val="19"/>
              </w:rPr>
              <w:t>商品 / 类别 / 币种 / 地区 / 国家</w:t>
            </w:r>
          </w:p>
        </w:tc>
        <w:tc>
          <w:tcPr>
            <w:tcW w:type="dxa" w:w="2187"/>
          </w:tcPr>
          <w:p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1158"/>
          </w:tcPr>
          <w:p>
            <w:r>
              <w:rPr>
                <w:rFonts w:ascii="微软雅黑" w:hAnsi="微软雅黑" w:eastAsia="微软雅黑"/>
                <w:sz w:val="19"/>
              </w:rPr>
              <w:t>0.95</w:t>
            </w:r>
          </w:p>
        </w:tc>
      </w:tr>
      <w:tr>
        <w:tc>
          <w:tcPr>
            <w:tcW w:type="dxa" w:w="708"/>
          </w:tcPr>
          <w:p>
            <w:r>
              <w:rPr>
                <w:rFonts w:ascii="微软雅黑" w:hAnsi="微软雅黑" w:eastAsia="微软雅黑"/>
                <w:sz w:val="19"/>
              </w:rPr>
              <w:t>9</w:t>
            </w:r>
          </w:p>
        </w:tc>
        <w:tc>
          <w:tcPr>
            <w:tcW w:type="dxa" w:w="1287"/>
          </w:tcPr>
          <w:p>
            <w:r>
              <w:rPr>
                <w:rFonts w:ascii="微软雅黑" w:hAnsi="微软雅黑" w:eastAsia="微软雅黑"/>
                <w:sz w:val="19"/>
              </w:rPr>
              <w:t>时间戳</w:t>
            </w:r>
          </w:p>
        </w:tc>
        <w:tc>
          <w:tcPr>
            <w:tcW w:type="dxa" w:w="772"/>
          </w:tcPr>
          <w:p>
            <w:r>
              <w:rPr>
                <w:rFonts w:ascii="微软雅黑" w:hAnsi="微软雅黑" w:eastAsia="微软雅黑"/>
                <w:sz w:val="19"/>
              </w:rPr>
              <w:t>P3</w:t>
            </w:r>
          </w:p>
        </w:tc>
        <w:tc>
          <w:tcPr>
            <w:tcW w:type="dxa" w:w="2959"/>
          </w:tcPr>
          <w:p>
            <w:r>
              <w:rPr>
                <w:rFonts w:ascii="微软雅黑" w:hAnsi="微软雅黑" w:eastAsia="微软雅黑"/>
                <w:sz w:val="19"/>
              </w:rPr>
              <w:t>时间 / 日期 / created / updated</w:t>
            </w:r>
          </w:p>
        </w:tc>
        <w:tc>
          <w:tcPr>
            <w:tcW w:type="dxa" w:w="2187"/>
          </w:tcPr>
          <w:p>
            <w:r>
              <w:rPr>
                <w:rFonts w:ascii="微软雅黑" w:hAnsi="微软雅黑" w:eastAsia="微软雅黑"/>
                <w:sz w:val="19"/>
              </w:rPr>
              <w:t>YYYY-MM-DD</w:t>
            </w:r>
          </w:p>
        </w:tc>
        <w:tc>
          <w:tcPr>
            <w:tcW w:type="dxa" w:w="1158"/>
          </w:tcPr>
          <w:p>
            <w:r>
              <w:rPr>
                <w:rFonts w:ascii="微软雅黑" w:hAnsi="微软雅黑" w:eastAsia="微软雅黑"/>
                <w:sz w:val="19"/>
              </w:rPr>
              <w:t>0.96</w:t>
            </w:r>
          </w:p>
        </w:tc>
      </w:tr>
    </w:tbl>
    <w:p/>
    <w:p>
      <w:r>
        <w:rPr>
          <w:rFonts w:ascii="微软雅黑" w:hAnsi="微软雅黑" w:eastAsia="微软雅黑"/>
          <w:b w:val="0"/>
        </w:rPr>
        <w:t>判定优先级：字段名关键词命中 → 样例值正则命中 → 兜底为 P3；未识别到敏感特征时按低敏感数据处理，并在结果中返回判定依据（rule 字段）与置信度，供合规人员复核。</w:t>
      </w:r>
    </w:p>
    <w:p>
      <w:pPr>
        <w:pStyle w:val="Heading1"/>
      </w:pPr>
      <w:r>
        <w:t>四、统一风险标签体系</w:t>
      </w:r>
    </w:p>
    <w:p>
      <w:r>
        <w:rPr>
          <w:rFonts w:ascii="微软雅黑" w:hAnsi="微软雅黑" w:eastAsia="微软雅黑"/>
          <w:b w:val="0"/>
        </w:rPr>
        <w:t>风险标签是 AI 初审、人工复核、异常监测与监管报送共用的分级口径。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1134"/>
        <w:gridCol w:w="2041"/>
        <w:gridCol w:w="4876"/>
      </w:tblGrid>
      <w:tr>
        <w:tc>
          <w:tcPr>
            <w:tcW w:type="dxa" w:w="1020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等级</w:t>
            </w:r>
          </w:p>
        </w:tc>
        <w:tc>
          <w:tcPr>
            <w:tcW w:type="dxa" w:w="1134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标签</w:t>
            </w:r>
          </w:p>
        </w:tc>
        <w:tc>
          <w:tcPr>
            <w:tcW w:type="dxa" w:w="2041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建议处置</w:t>
            </w:r>
          </w:p>
        </w:tc>
        <w:tc>
          <w:tcPr>
            <w:tcW w:type="dxa" w:w="4876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典型场景</w:t>
            </w:r>
          </w:p>
        </w:tc>
      </w:tr>
      <w:tr>
        <w:tc>
          <w:tcPr>
            <w:tcW w:type="dxa" w:w="1020"/>
          </w:tcPr>
          <w:p>
            <w:r>
              <w:rPr>
                <w:rFonts w:ascii="微软雅黑" w:hAnsi="微软雅黑" w:eastAsia="微软雅黑"/>
                <w:sz w:val="19"/>
              </w:rPr>
              <w:t>high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9"/>
              </w:rPr>
              <w:t>高风险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sz w:val="19"/>
              </w:rPr>
              <w:t>拒绝 / 转人工复核</w:t>
            </w:r>
          </w:p>
        </w:tc>
        <w:tc>
          <w:tcPr>
            <w:tcW w:type="dxa" w:w="4876"/>
          </w:tcPr>
          <w:p>
            <w:r>
              <w:rPr>
                <w:rFonts w:ascii="微软雅黑" w:hAnsi="微软雅黑" w:eastAsia="微软雅黑"/>
                <w:sz w:val="19"/>
              </w:rPr>
              <w:t>命中制裁清单、身份信息不一致、组合异常（多规则叠加）</w:t>
            </w:r>
          </w:p>
        </w:tc>
      </w:tr>
      <w:tr>
        <w:tc>
          <w:tcPr>
            <w:tcW w:type="dxa" w:w="1020"/>
          </w:tcPr>
          <w:p>
            <w:r>
              <w:rPr>
                <w:rFonts w:ascii="微软雅黑" w:hAnsi="微软雅黑" w:eastAsia="微软雅黑"/>
                <w:sz w:val="19"/>
              </w:rPr>
              <w:t>medium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9"/>
              </w:rPr>
              <w:t>中风险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sz w:val="19"/>
              </w:rPr>
              <w:t>二次验证 / 抽检</w:t>
            </w:r>
          </w:p>
        </w:tc>
        <w:tc>
          <w:tcPr>
            <w:tcW w:type="dxa" w:w="4876"/>
          </w:tcPr>
          <w:p>
            <w:r>
              <w:rPr>
                <w:rFonts w:ascii="微软雅黑" w:hAnsi="微软雅黑" w:eastAsia="微软雅黑"/>
                <w:sz w:val="19"/>
              </w:rPr>
              <w:t>金额突增、拆分交易、高风险地区交易、新商户大额</w:t>
            </w:r>
          </w:p>
        </w:tc>
      </w:tr>
      <w:tr>
        <w:tc>
          <w:tcPr>
            <w:tcW w:type="dxa" w:w="1020"/>
          </w:tcPr>
          <w:p>
            <w:r>
              <w:rPr>
                <w:rFonts w:ascii="微软雅黑" w:hAnsi="微软雅黑" w:eastAsia="微软雅黑"/>
                <w:sz w:val="19"/>
              </w:rPr>
              <w:t>low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9"/>
              </w:rPr>
              <w:t>低风险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sz w:val="19"/>
              </w:rPr>
              <w:t>自动通过</w:t>
            </w:r>
          </w:p>
        </w:tc>
        <w:tc>
          <w:tcPr>
            <w:tcW w:type="dxa" w:w="4876"/>
          </w:tcPr>
          <w:p>
            <w:r>
              <w:rPr>
                <w:rFonts w:ascii="微软雅黑" w:hAnsi="微软雅黑" w:eastAsia="微软雅黑"/>
                <w:sz w:val="19"/>
              </w:rPr>
              <w:t>常规交易，无异常特征命中</w:t>
            </w:r>
          </w:p>
        </w:tc>
      </w:tr>
    </w:tbl>
    <w:p/>
    <w:p>
      <w:pPr>
        <w:pStyle w:val="Heading1"/>
      </w:pPr>
      <w:r>
        <w:t>五、审核结论口径（AI 与人工共用）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1814"/>
        <w:gridCol w:w="4082"/>
        <w:gridCol w:w="1928"/>
      </w:tblGrid>
      <w:tr>
        <w:tc>
          <w:tcPr>
            <w:tcW w:type="dxa" w:w="1247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取值</w:t>
            </w:r>
          </w:p>
        </w:tc>
        <w:tc>
          <w:tcPr>
            <w:tcW w:type="dxa" w:w="1814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中文标签</w:t>
            </w:r>
          </w:p>
        </w:tc>
        <w:tc>
          <w:tcPr>
            <w:tcW w:type="dxa" w:w="4082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1928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使用方</w:t>
            </w:r>
          </w:p>
        </w:tc>
      </w:tr>
      <w:tr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9"/>
              </w:rPr>
              <w:t>approve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9"/>
              </w:rPr>
              <w:t>通过</w:t>
            </w:r>
          </w:p>
        </w:tc>
        <w:tc>
          <w:tcPr>
            <w:tcW w:type="dxa" w:w="4082"/>
          </w:tcPr>
          <w:p>
            <w:r>
              <w:rPr>
                <w:rFonts w:ascii="微软雅黑" w:hAnsi="微软雅黑" w:eastAsia="微软雅黑"/>
                <w:sz w:val="19"/>
              </w:rPr>
              <w:t>资料齐全、交易背景真实，允许放行</w:t>
            </w:r>
          </w:p>
        </w:tc>
        <w:tc>
          <w:tcPr>
            <w:tcW w:type="dxa" w:w="1928"/>
          </w:tcPr>
          <w:p>
            <w:r>
              <w:rPr>
                <w:rFonts w:ascii="微软雅黑" w:hAnsi="微软雅黑" w:eastAsia="微软雅黑"/>
                <w:sz w:val="19"/>
              </w:rPr>
              <w:t>AI 初审 / 人工复核</w:t>
            </w:r>
          </w:p>
        </w:tc>
      </w:tr>
      <w:tr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9"/>
              </w:rPr>
              <w:t>reject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9"/>
              </w:rPr>
              <w:t>拒绝</w:t>
            </w:r>
          </w:p>
        </w:tc>
        <w:tc>
          <w:tcPr>
            <w:tcW w:type="dxa" w:w="4082"/>
          </w:tcPr>
          <w:p>
            <w:r>
              <w:rPr>
                <w:rFonts w:ascii="微软雅黑" w:hAnsi="微软雅黑" w:eastAsia="微软雅黑"/>
                <w:sz w:val="19"/>
              </w:rPr>
              <w:t>存在实质风险（制裁命中、身份不一致等），拒绝并上报</w:t>
            </w:r>
          </w:p>
        </w:tc>
        <w:tc>
          <w:tcPr>
            <w:tcW w:type="dxa" w:w="1928"/>
          </w:tcPr>
          <w:p>
            <w:r>
              <w:rPr>
                <w:rFonts w:ascii="微软雅黑" w:hAnsi="微软雅黑" w:eastAsia="微软雅黑"/>
                <w:sz w:val="19"/>
              </w:rPr>
              <w:t>AI 初审 / 人工复核</w:t>
            </w:r>
          </w:p>
        </w:tc>
      </w:tr>
      <w:tr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9"/>
              </w:rPr>
              <w:t>manual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9"/>
              </w:rPr>
              <w:t>转人工/需补充材料</w:t>
            </w:r>
          </w:p>
        </w:tc>
        <w:tc>
          <w:tcPr>
            <w:tcW w:type="dxa" w:w="4082"/>
          </w:tcPr>
          <w:p>
            <w:r>
              <w:rPr>
                <w:rFonts w:ascii="微软雅黑" w:hAnsi="微软雅黑" w:eastAsia="微软雅黑"/>
                <w:sz w:val="19"/>
              </w:rPr>
              <w:t>证据不足以直接判定，需补充材料或人工判断</w:t>
            </w:r>
          </w:p>
        </w:tc>
        <w:tc>
          <w:tcPr>
            <w:tcW w:type="dxa" w:w="1928"/>
          </w:tcPr>
          <w:p>
            <w:r>
              <w:rPr>
                <w:rFonts w:ascii="微软雅黑" w:hAnsi="微软雅黑" w:eastAsia="微软雅黑"/>
                <w:sz w:val="19"/>
              </w:rPr>
              <w:t>AI 初审 / 人工复核</w:t>
            </w:r>
          </w:p>
        </w:tc>
      </w:tr>
    </w:tbl>
    <w:p/>
    <w:p>
      <w:pPr>
        <w:ind w:left="227"/>
      </w:pPr>
      <w:r>
        <w:rPr>
          <w:rFonts w:ascii="微软雅黑" w:hAnsi="微软雅黑" w:eastAsia="微软雅黑"/>
          <w:i/>
          <w:color w:val="5C6B7F"/>
          <w:sz w:val="19"/>
        </w:rPr>
        <w:t>AI 置信度低于 0.55 时强制转人工；转人工样本计入「总体协同率」，不计入「一致性分歧」，避免把协同行为误判为 AI 判断错误。</w:t>
      </w:r>
    </w:p>
    <w:p>
      <w:pPr>
        <w:pStyle w:val="Heading1"/>
      </w:pPr>
      <w:r>
        <w:t>六、统一处置动作口径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474"/>
        <w:gridCol w:w="1474"/>
        <w:gridCol w:w="2494"/>
        <w:gridCol w:w="2494"/>
      </w:tblGrid>
      <w:tr>
        <w:tc>
          <w:tcPr>
            <w:tcW w:type="dxa" w:w="1134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动作码</w:t>
            </w:r>
          </w:p>
        </w:tc>
        <w:tc>
          <w:tcPr>
            <w:tcW w:type="dxa" w:w="1474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动作名称</w:t>
            </w:r>
          </w:p>
        </w:tc>
        <w:tc>
          <w:tcPr>
            <w:tcW w:type="dxa" w:w="1474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风险分区间</w:t>
            </w:r>
          </w:p>
        </w:tc>
        <w:tc>
          <w:tcPr>
            <w:tcW w:type="dxa" w:w="2494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是否自动闭环</w:t>
            </w:r>
          </w:p>
        </w:tc>
        <w:tc>
          <w:tcPr>
            <w:tcW w:type="dxa" w:w="2494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适用场景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9"/>
              </w:rPr>
              <w:t>pass</w:t>
            </w:r>
          </w:p>
        </w:tc>
        <w:tc>
          <w:tcPr>
            <w:tcW w:type="dxa" w:w="1474"/>
          </w:tcPr>
          <w:p>
            <w:r>
              <w:rPr>
                <w:rFonts w:ascii="微软雅黑" w:hAnsi="微软雅黑" w:eastAsia="微软雅黑"/>
                <w:sz w:val="19"/>
              </w:rPr>
              <w:t>自动放行</w:t>
            </w:r>
          </w:p>
        </w:tc>
        <w:tc>
          <w:tcPr>
            <w:tcW w:type="dxa" w:w="1474"/>
          </w:tcPr>
          <w:p>
            <w:r>
              <w:rPr>
                <w:rFonts w:ascii="微软雅黑" w:hAnsi="微软雅黑" w:eastAsia="微软雅黑"/>
                <w:sz w:val="19"/>
              </w:rPr>
              <w:t>&lt; 0.45</w:t>
            </w:r>
          </w:p>
        </w:tc>
        <w:tc>
          <w:tcPr>
            <w:tcW w:type="dxa" w:w="2494"/>
          </w:tcPr>
          <w:p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type="dxa" w:w="2494"/>
          </w:tcPr>
          <w:p>
            <w:r>
              <w:rPr>
                <w:rFonts w:ascii="微软雅黑" w:hAnsi="微软雅黑" w:eastAsia="微软雅黑"/>
                <w:sz w:val="19"/>
              </w:rPr>
              <w:t>低风险交易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9"/>
              </w:rPr>
              <w:t>verify</w:t>
            </w:r>
          </w:p>
        </w:tc>
        <w:tc>
          <w:tcPr>
            <w:tcW w:type="dxa" w:w="1474"/>
          </w:tcPr>
          <w:p>
            <w:r>
              <w:rPr>
                <w:rFonts w:ascii="微软雅黑" w:hAnsi="微软雅黑" w:eastAsia="微软雅黑"/>
                <w:sz w:val="19"/>
              </w:rPr>
              <w:t>二次验证</w:t>
            </w:r>
          </w:p>
        </w:tc>
        <w:tc>
          <w:tcPr>
            <w:tcW w:type="dxa" w:w="1474"/>
          </w:tcPr>
          <w:p>
            <w:r>
              <w:rPr>
                <w:rFonts w:ascii="微软雅黑" w:hAnsi="微软雅黑" w:eastAsia="微软雅黑"/>
                <w:sz w:val="19"/>
              </w:rPr>
              <w:t>0.45 ~ 0.70</w:t>
            </w:r>
          </w:p>
        </w:tc>
        <w:tc>
          <w:tcPr>
            <w:tcW w:type="dxa" w:w="2494"/>
          </w:tcPr>
          <w:p>
            <w:r>
              <w:rPr>
                <w:rFonts w:ascii="微软雅黑" w:hAnsi="微软雅黑" w:eastAsia="微软雅黑"/>
                <w:sz w:val="19"/>
              </w:rPr>
              <w:t>是（触发 MFA + 生物核验）</w:t>
            </w:r>
          </w:p>
        </w:tc>
        <w:tc>
          <w:tcPr>
            <w:tcW w:type="dxa" w:w="2494"/>
          </w:tcPr>
          <w:p>
            <w:r>
              <w:rPr>
                <w:rFonts w:ascii="微软雅黑" w:hAnsi="微软雅黑" w:eastAsia="微软雅黑"/>
                <w:sz w:val="19"/>
              </w:rPr>
              <w:t>中风险交易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9"/>
              </w:rPr>
              <w:t>manual</w:t>
            </w:r>
          </w:p>
        </w:tc>
        <w:tc>
          <w:tcPr>
            <w:tcW w:type="dxa" w:w="1474"/>
          </w:tcPr>
          <w:p>
            <w:r>
              <w:rPr>
                <w:rFonts w:ascii="微软雅黑" w:hAnsi="微软雅黑" w:eastAsia="微软雅黑"/>
                <w:sz w:val="19"/>
              </w:rPr>
              <w:t>转人工复核</w:t>
            </w:r>
          </w:p>
        </w:tc>
        <w:tc>
          <w:tcPr>
            <w:tcW w:type="dxa" w:w="1474"/>
          </w:tcPr>
          <w:p>
            <w:r>
              <w:rPr>
                <w:rFonts w:ascii="微软雅黑" w:hAnsi="微软雅黑" w:eastAsia="微软雅黑"/>
                <w:sz w:val="19"/>
              </w:rPr>
              <w:t>0.70 ~ 0.85</w:t>
            </w:r>
          </w:p>
        </w:tc>
        <w:tc>
          <w:tcPr>
            <w:tcW w:type="dxa" w:w="2494"/>
          </w:tcPr>
          <w:p>
            <w:r>
              <w:rPr>
                <w:rFonts w:ascii="微软雅黑" w:hAnsi="微软雅黑" w:eastAsia="微软雅黑"/>
                <w:sz w:val="19"/>
              </w:rPr>
              <w:t>否（待人工确认）</w:t>
            </w:r>
          </w:p>
        </w:tc>
        <w:tc>
          <w:tcPr>
            <w:tcW w:type="dxa" w:w="2494"/>
          </w:tcPr>
          <w:p>
            <w:r>
              <w:rPr>
                <w:rFonts w:ascii="微软雅黑" w:hAnsi="微软雅黑" w:eastAsia="微软雅黑"/>
                <w:sz w:val="19"/>
              </w:rPr>
              <w:t>高风险或证据不足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9"/>
              </w:rPr>
              <w:t>block</w:t>
            </w:r>
          </w:p>
        </w:tc>
        <w:tc>
          <w:tcPr>
            <w:tcW w:type="dxa" w:w="1474"/>
          </w:tcPr>
          <w:p>
            <w:r>
              <w:rPr>
                <w:rFonts w:ascii="微软雅黑" w:hAnsi="微软雅黑" w:eastAsia="微软雅黑"/>
                <w:sz w:val="19"/>
              </w:rPr>
              <w:t>自动拦截</w:t>
            </w:r>
          </w:p>
        </w:tc>
        <w:tc>
          <w:tcPr>
            <w:tcW w:type="dxa" w:w="1474"/>
          </w:tcPr>
          <w:p>
            <w:r>
              <w:rPr>
                <w:rFonts w:ascii="微软雅黑" w:hAnsi="微软雅黑" w:eastAsia="微软雅黑"/>
                <w:sz w:val="19"/>
              </w:rPr>
              <w:t>≥ 0.85</w:t>
            </w:r>
          </w:p>
        </w:tc>
        <w:tc>
          <w:tcPr>
            <w:tcW w:type="dxa" w:w="2494"/>
          </w:tcPr>
          <w:p>
            <w:r>
              <w:rPr>
                <w:rFonts w:ascii="微软雅黑" w:hAnsi="微软雅黑" w:eastAsia="微软雅黑"/>
                <w:sz w:val="19"/>
              </w:rPr>
              <w:t>是（拒绝并上链存证）</w:t>
            </w:r>
          </w:p>
        </w:tc>
        <w:tc>
          <w:tcPr>
            <w:tcW w:type="dxa" w:w="2494"/>
          </w:tcPr>
          <w:p>
            <w:r>
              <w:rPr>
                <w:rFonts w:ascii="微软雅黑" w:hAnsi="微软雅黑" w:eastAsia="微软雅黑"/>
                <w:sz w:val="19"/>
              </w:rPr>
              <w:t>命中制裁清单或组合异常</w:t>
            </w:r>
          </w:p>
        </w:tc>
      </w:tr>
    </w:tbl>
    <w:p/>
    <w:p>
      <w:pPr>
        <w:pStyle w:val="Heading1"/>
      </w:pPr>
      <w:r>
        <w:t>七、支付订单状态标签</w:t>
      </w:r>
    </w:p>
    <w:p>
      <w:r>
        <w:rPr>
          <w:rFonts w:ascii="微软雅黑" w:hAnsi="微软雅黑" w:eastAsia="微软雅黑"/>
          <w:b w:val="0"/>
        </w:rPr>
        <w:t>支付链路采用统一状态机，10 个状态在全平台（订单列表、监控看板、报表）使用同一命名与语义。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1"/>
        <w:gridCol w:w="1693"/>
        <w:gridCol w:w="4838"/>
        <w:gridCol w:w="1089"/>
      </w:tblGrid>
      <w:tr>
        <w:tc>
          <w:tcPr>
            <w:tcW w:type="dxa" w:w="1451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1693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中文</w:t>
            </w:r>
          </w:p>
        </w:tc>
        <w:tc>
          <w:tcPr>
            <w:tcW w:type="dxa" w:w="4838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1089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终态</w:t>
            </w:r>
          </w:p>
        </w:tc>
      </w:tr>
      <w:tr>
        <w:tc>
          <w:tcPr>
            <w:tcW w:type="dxa" w:w="1451"/>
          </w:tcPr>
          <w:p>
            <w:r>
              <w:rPr>
                <w:rFonts w:ascii="微软雅黑" w:hAnsi="微软雅黑" w:eastAsia="微软雅黑"/>
                <w:sz w:val="19"/>
              </w:rPr>
              <w:t>received</w:t>
            </w:r>
          </w:p>
        </w:tc>
        <w:tc>
          <w:tcPr>
            <w:tcW w:type="dxa" w:w="1693"/>
          </w:tcPr>
          <w:p>
            <w:r>
              <w:rPr>
                <w:rFonts w:ascii="微软雅黑" w:hAnsi="微软雅黑" w:eastAsia="微软雅黑"/>
                <w:sz w:val="19"/>
              </w:rPr>
              <w:t>已接入</w:t>
            </w:r>
          </w:p>
        </w:tc>
        <w:tc>
          <w:tcPr>
            <w:tcW w:type="dxa" w:w="4838"/>
          </w:tcPr>
          <w:p>
            <w:r>
              <w:rPr>
                <w:rFonts w:ascii="微软雅黑" w:hAnsi="微软雅黑" w:eastAsia="微软雅黑"/>
                <w:sz w:val="19"/>
              </w:rPr>
              <w:t>交易接入成功，等待风控前置校验</w:t>
            </w:r>
          </w:p>
        </w:tc>
        <w:tc>
          <w:tcPr>
            <w:tcW w:type="dxa" w:w="1089"/>
          </w:tcPr>
          <w:p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</w:tr>
      <w:tr>
        <w:tc>
          <w:tcPr>
            <w:tcW w:type="dxa" w:w="1451"/>
          </w:tcPr>
          <w:p>
            <w:r>
              <w:rPr>
                <w:rFonts w:ascii="微软雅黑" w:hAnsi="微软雅黑" w:eastAsia="微软雅黑"/>
                <w:sz w:val="19"/>
              </w:rPr>
              <w:t>risk_checked</w:t>
            </w:r>
          </w:p>
        </w:tc>
        <w:tc>
          <w:tcPr>
            <w:tcW w:type="dxa" w:w="1693"/>
          </w:tcPr>
          <w:p>
            <w:r>
              <w:rPr>
                <w:rFonts w:ascii="微软雅黑" w:hAnsi="微软雅黑" w:eastAsia="微软雅黑"/>
                <w:sz w:val="19"/>
              </w:rPr>
              <w:t>风控已校验</w:t>
            </w:r>
          </w:p>
        </w:tc>
        <w:tc>
          <w:tcPr>
            <w:tcW w:type="dxa" w:w="4838"/>
          </w:tcPr>
          <w:p>
            <w:r>
              <w:rPr>
                <w:rFonts w:ascii="微软雅黑" w:hAnsi="微软雅黑" w:eastAsia="微软雅黑"/>
                <w:sz w:val="19"/>
              </w:rPr>
              <w:t>风险评分完成，已确定处置动作</w:t>
            </w:r>
          </w:p>
        </w:tc>
        <w:tc>
          <w:tcPr>
            <w:tcW w:type="dxa" w:w="1089"/>
          </w:tcPr>
          <w:p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</w:tr>
      <w:tr>
        <w:tc>
          <w:tcPr>
            <w:tcW w:type="dxa" w:w="1451"/>
          </w:tcPr>
          <w:p>
            <w:r>
              <w:rPr>
                <w:rFonts w:ascii="微软雅黑" w:hAnsi="微软雅黑" w:eastAsia="微软雅黑"/>
                <w:sz w:val="19"/>
              </w:rPr>
              <w:t>routed</w:t>
            </w:r>
          </w:p>
        </w:tc>
        <w:tc>
          <w:tcPr>
            <w:tcW w:type="dxa" w:w="1693"/>
          </w:tcPr>
          <w:p>
            <w:r>
              <w:rPr>
                <w:rFonts w:ascii="微软雅黑" w:hAnsi="微软雅黑" w:eastAsia="微软雅黑"/>
                <w:sz w:val="19"/>
              </w:rPr>
              <w:t>已路由</w:t>
            </w:r>
          </w:p>
        </w:tc>
        <w:tc>
          <w:tcPr>
            <w:tcW w:type="dxa" w:w="4838"/>
          </w:tcPr>
          <w:p>
            <w:r>
              <w:rPr>
                <w:rFonts w:ascii="微软雅黑" w:hAnsi="微软雅黑" w:eastAsia="微软雅黑"/>
                <w:sz w:val="19"/>
              </w:rPr>
              <w:t>智能路由完成，已选定清算通道</w:t>
            </w:r>
          </w:p>
        </w:tc>
        <w:tc>
          <w:tcPr>
            <w:tcW w:type="dxa" w:w="1089"/>
          </w:tcPr>
          <w:p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</w:tr>
      <w:tr>
        <w:tc>
          <w:tcPr>
            <w:tcW w:type="dxa" w:w="1451"/>
          </w:tcPr>
          <w:p>
            <w:r>
              <w:rPr>
                <w:rFonts w:ascii="微软雅黑" w:hAnsi="微软雅黑" w:eastAsia="微软雅黑"/>
                <w:sz w:val="19"/>
              </w:rPr>
              <w:t>processing</w:t>
            </w:r>
          </w:p>
        </w:tc>
        <w:tc>
          <w:tcPr>
            <w:tcW w:type="dxa" w:w="1693"/>
          </w:tcPr>
          <w:p>
            <w:r>
              <w:rPr>
                <w:rFonts w:ascii="微软雅黑" w:hAnsi="微软雅黑" w:eastAsia="微软雅黑"/>
                <w:sz w:val="19"/>
              </w:rPr>
              <w:t>处理中</w:t>
            </w:r>
          </w:p>
        </w:tc>
        <w:tc>
          <w:tcPr>
            <w:tcW w:type="dxa" w:w="4838"/>
          </w:tcPr>
          <w:p>
            <w:r>
              <w:rPr>
                <w:rFonts w:ascii="微软雅黑" w:hAnsi="微软雅黑" w:eastAsia="微软雅黑"/>
                <w:sz w:val="19"/>
              </w:rPr>
              <w:t>通道提交清算中</w:t>
            </w:r>
          </w:p>
        </w:tc>
        <w:tc>
          <w:tcPr>
            <w:tcW w:type="dxa" w:w="1089"/>
          </w:tcPr>
          <w:p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</w:tr>
      <w:tr>
        <w:tc>
          <w:tcPr>
            <w:tcW w:type="dxa" w:w="1451"/>
          </w:tcPr>
          <w:p>
            <w:r>
              <w:rPr>
                <w:rFonts w:ascii="微软雅黑" w:hAnsi="微软雅黑" w:eastAsia="微软雅黑"/>
                <w:sz w:val="19"/>
              </w:rPr>
              <w:t>success</w:t>
            </w:r>
          </w:p>
        </w:tc>
        <w:tc>
          <w:tcPr>
            <w:tcW w:type="dxa" w:w="1693"/>
          </w:tcPr>
          <w:p>
            <w:r>
              <w:rPr>
                <w:rFonts w:ascii="微软雅黑" w:hAnsi="微软雅黑" w:eastAsia="微软雅黑"/>
                <w:sz w:val="19"/>
              </w:rPr>
              <w:t>成功</w:t>
            </w:r>
          </w:p>
        </w:tc>
        <w:tc>
          <w:tcPr>
            <w:tcW w:type="dxa" w:w="4838"/>
          </w:tcPr>
          <w:p>
            <w:r>
              <w:rPr>
                <w:rFonts w:ascii="微软雅黑" w:hAnsi="微软雅黑" w:eastAsia="微软雅黑"/>
                <w:sz w:val="19"/>
              </w:rPr>
              <w:t>一次提交即清算成功</w:t>
            </w:r>
          </w:p>
        </w:tc>
        <w:tc>
          <w:tcPr>
            <w:tcW w:type="dxa" w:w="1089"/>
          </w:tcPr>
          <w:p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</w:tr>
      <w:tr>
        <w:tc>
          <w:tcPr>
            <w:tcW w:type="dxa" w:w="1451"/>
          </w:tcPr>
          <w:p>
            <w:r>
              <w:rPr>
                <w:rFonts w:ascii="微软雅黑" w:hAnsi="微软雅黑" w:eastAsia="微软雅黑"/>
                <w:sz w:val="19"/>
              </w:rPr>
              <w:t>retrying</w:t>
            </w:r>
          </w:p>
        </w:tc>
        <w:tc>
          <w:tcPr>
            <w:tcW w:type="dxa" w:w="1693"/>
          </w:tcPr>
          <w:p>
            <w:r>
              <w:rPr>
                <w:rFonts w:ascii="微软雅黑" w:hAnsi="微软雅黑" w:eastAsia="微软雅黑"/>
                <w:sz w:val="19"/>
              </w:rPr>
              <w:t>重试后成功</w:t>
            </w:r>
          </w:p>
        </w:tc>
        <w:tc>
          <w:tcPr>
            <w:tcW w:type="dxa" w:w="4838"/>
          </w:tcPr>
          <w:p>
            <w:r>
              <w:rPr>
                <w:rFonts w:ascii="微软雅黑" w:hAnsi="微软雅黑" w:eastAsia="微软雅黑"/>
                <w:sz w:val="19"/>
              </w:rPr>
              <w:t>首次失败，切换通道重试后成功</w:t>
            </w:r>
          </w:p>
        </w:tc>
        <w:tc>
          <w:tcPr>
            <w:tcW w:type="dxa" w:w="1089"/>
          </w:tcPr>
          <w:p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</w:tr>
      <w:tr>
        <w:tc>
          <w:tcPr>
            <w:tcW w:type="dxa" w:w="1451"/>
          </w:tcPr>
          <w:p>
            <w:r>
              <w:rPr>
                <w:rFonts w:ascii="微软雅黑" w:hAnsi="微软雅黑" w:eastAsia="微软雅黑"/>
                <w:sz w:val="19"/>
              </w:rPr>
              <w:t>failed</w:t>
            </w:r>
          </w:p>
        </w:tc>
        <w:tc>
          <w:tcPr>
            <w:tcW w:type="dxa" w:w="1693"/>
          </w:tcPr>
          <w:p>
            <w:r>
              <w:rPr>
                <w:rFonts w:ascii="微软雅黑" w:hAnsi="微软雅黑" w:eastAsia="微软雅黑"/>
                <w:sz w:val="19"/>
              </w:rPr>
              <w:t>失败</w:t>
            </w:r>
          </w:p>
        </w:tc>
        <w:tc>
          <w:tcPr>
            <w:tcW w:type="dxa" w:w="4838"/>
          </w:tcPr>
          <w:p>
            <w:r>
              <w:rPr>
                <w:rFonts w:ascii="微软雅黑" w:hAnsi="微软雅黑" w:eastAsia="微软雅黑"/>
                <w:sz w:val="19"/>
              </w:rPr>
              <w:t>全部尝试失败且未生成补偿单</w:t>
            </w:r>
          </w:p>
        </w:tc>
        <w:tc>
          <w:tcPr>
            <w:tcW w:type="dxa" w:w="1089"/>
          </w:tcPr>
          <w:p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</w:tr>
      <w:tr>
        <w:tc>
          <w:tcPr>
            <w:tcW w:type="dxa" w:w="1451"/>
          </w:tcPr>
          <w:p>
            <w:r>
              <w:rPr>
                <w:rFonts w:ascii="微软雅黑" w:hAnsi="微软雅黑" w:eastAsia="微软雅黑"/>
                <w:sz w:val="19"/>
              </w:rPr>
              <w:t>compensated</w:t>
            </w:r>
          </w:p>
        </w:tc>
        <w:tc>
          <w:tcPr>
            <w:tcW w:type="dxa" w:w="1693"/>
          </w:tcPr>
          <w:p>
            <w:r>
              <w:rPr>
                <w:rFonts w:ascii="微软雅黑" w:hAnsi="微软雅黑" w:eastAsia="微软雅黑"/>
                <w:sz w:val="19"/>
              </w:rPr>
              <w:t>已自动补偿</w:t>
            </w:r>
          </w:p>
        </w:tc>
        <w:tc>
          <w:tcPr>
            <w:tcW w:type="dxa" w:w="4838"/>
          </w:tcPr>
          <w:p>
            <w:r>
              <w:rPr>
                <w:rFonts w:ascii="微软雅黑" w:hAnsi="微软雅黑" w:eastAsia="微软雅黑"/>
                <w:sz w:val="19"/>
              </w:rPr>
              <w:t>重试耗尽，已生成补偿单（改道重发或原路退回）</w:t>
            </w:r>
          </w:p>
        </w:tc>
        <w:tc>
          <w:tcPr>
            <w:tcW w:type="dxa" w:w="1089"/>
          </w:tcPr>
          <w:p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</w:tr>
      <w:tr>
        <w:tc>
          <w:tcPr>
            <w:tcW w:type="dxa" w:w="1451"/>
          </w:tcPr>
          <w:p>
            <w:r>
              <w:rPr>
                <w:rFonts w:ascii="微软雅黑" w:hAnsi="微软雅黑" w:eastAsia="微软雅黑"/>
                <w:sz w:val="19"/>
              </w:rPr>
              <w:t>blocked</w:t>
            </w:r>
          </w:p>
        </w:tc>
        <w:tc>
          <w:tcPr>
            <w:tcW w:type="dxa" w:w="1693"/>
          </w:tcPr>
          <w:p>
            <w:r>
              <w:rPr>
                <w:rFonts w:ascii="微软雅黑" w:hAnsi="微软雅黑" w:eastAsia="微软雅黑"/>
                <w:sz w:val="19"/>
              </w:rPr>
              <w:t>风控拦截</w:t>
            </w:r>
          </w:p>
        </w:tc>
        <w:tc>
          <w:tcPr>
            <w:tcW w:type="dxa" w:w="4838"/>
          </w:tcPr>
          <w:p>
            <w:r>
              <w:rPr>
                <w:rFonts w:ascii="微软雅黑" w:hAnsi="微软雅黑" w:eastAsia="微软雅黑"/>
                <w:sz w:val="19"/>
              </w:rPr>
              <w:t>风险评分超拦截阈值，未进入支付链路</w:t>
            </w:r>
          </w:p>
        </w:tc>
        <w:tc>
          <w:tcPr>
            <w:tcW w:type="dxa" w:w="1089"/>
          </w:tcPr>
          <w:p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</w:tr>
      <w:tr>
        <w:tc>
          <w:tcPr>
            <w:tcW w:type="dxa" w:w="1451"/>
          </w:tcPr>
          <w:p>
            <w:r>
              <w:rPr>
                <w:rFonts w:ascii="微软雅黑" w:hAnsi="微软雅黑" w:eastAsia="微软雅黑"/>
                <w:sz w:val="19"/>
              </w:rPr>
              <w:t>manual</w:t>
            </w:r>
          </w:p>
        </w:tc>
        <w:tc>
          <w:tcPr>
            <w:tcW w:type="dxa" w:w="1693"/>
          </w:tcPr>
          <w:p>
            <w:r>
              <w:rPr>
                <w:rFonts w:ascii="微软雅黑" w:hAnsi="微软雅黑" w:eastAsia="微软雅黑"/>
                <w:sz w:val="19"/>
              </w:rPr>
              <w:t>转人工审核</w:t>
            </w:r>
          </w:p>
        </w:tc>
        <w:tc>
          <w:tcPr>
            <w:tcW w:type="dxa" w:w="4838"/>
          </w:tcPr>
          <w:p>
            <w:r>
              <w:rPr>
                <w:rFonts w:ascii="微软雅黑" w:hAnsi="微软雅黑" w:eastAsia="微软雅黑"/>
                <w:sz w:val="19"/>
              </w:rPr>
              <w:t>风险评分超人工阈值，待合规审核</w:t>
            </w:r>
          </w:p>
        </w:tc>
        <w:tc>
          <w:tcPr>
            <w:tcW w:type="dxa" w:w="1089"/>
          </w:tcPr>
          <w:p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</w:tr>
    </w:tbl>
    <w:p/>
    <w:p>
      <w:pPr>
        <w:pStyle w:val="Heading1"/>
      </w:pPr>
      <w:r>
        <w:t>八、数据质量标准与审计留存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494"/>
        <w:gridCol w:w="2608"/>
        <w:gridCol w:w="2268"/>
      </w:tblGrid>
      <w:tr>
        <w:tc>
          <w:tcPr>
            <w:tcW w:type="dxa" w:w="1701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质量维度</w:t>
            </w:r>
          </w:p>
        </w:tc>
        <w:tc>
          <w:tcPr>
            <w:tcW w:type="dxa" w:w="2494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指标要求</w:t>
            </w:r>
          </w:p>
        </w:tc>
        <w:tc>
          <w:tcPr>
            <w:tcW w:type="dxa" w:w="2608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平台实测</w:t>
            </w:r>
          </w:p>
        </w:tc>
        <w:tc>
          <w:tcPr>
            <w:tcW w:type="dxa" w:w="2268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校验方式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分级准确率</w:t>
            </w:r>
          </w:p>
        </w:tc>
        <w:tc>
          <w:tcPr>
            <w:tcW w:type="dxa" w:w="2494"/>
          </w:tcPr>
          <w:p>
            <w:r>
              <w:rPr>
                <w:rFonts w:ascii="微软雅黑" w:hAnsi="微软雅黑" w:eastAsia="微软雅黑"/>
                <w:sz w:val="19"/>
              </w:rPr>
              <w:t>≥ 95%</w:t>
            </w:r>
          </w:p>
        </w:tc>
        <w:tc>
          <w:tcPr>
            <w:tcW w:type="dxa" w:w="2608"/>
          </w:tcPr>
          <w:p>
            <w:r>
              <w:rPr>
                <w:rFonts w:ascii="微软雅黑" w:hAnsi="微软雅黑" w:eastAsia="微软雅黑"/>
                <w:sz w:val="19"/>
              </w:rPr>
              <w:t>95%（平均置信度 0.965）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9 类规则命中 + 样例值格式校验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联合统计误差率</w:t>
            </w:r>
          </w:p>
        </w:tc>
        <w:tc>
          <w:tcPr>
            <w:tcW w:type="dxa" w:w="2494"/>
          </w:tcPr>
          <w:p>
            <w:r>
              <w:rPr>
                <w:rFonts w:ascii="微软雅黑" w:hAnsi="微软雅黑" w:eastAsia="微软雅黑"/>
                <w:sz w:val="19"/>
              </w:rPr>
              <w:t>≤ 1%</w:t>
            </w:r>
          </w:p>
        </w:tc>
        <w:tc>
          <w:tcPr>
            <w:tcW w:type="dxa" w:w="2608"/>
          </w:tcPr>
          <w:p>
            <w:r>
              <w:rPr>
                <w:rFonts w:ascii="微软雅黑" w:hAnsi="微软雅黑" w:eastAsia="微软雅黑"/>
                <w:sz w:val="19"/>
              </w:rPr>
              <w:t>0.038%（差分隐私 ε=1.5）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与明文真值比对（真实交易库）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联邦模型 AUC 偏差</w:t>
            </w:r>
          </w:p>
        </w:tc>
        <w:tc>
          <w:tcPr>
            <w:tcW w:type="dxa" w:w="2494"/>
          </w:tcPr>
          <w:p>
            <w:r>
              <w:rPr>
                <w:rFonts w:ascii="微软雅黑" w:hAnsi="微软雅黑" w:eastAsia="微软雅黑"/>
                <w:sz w:val="19"/>
              </w:rPr>
              <w:t>≤ 0.02</w:t>
            </w:r>
          </w:p>
        </w:tc>
        <w:tc>
          <w:tcPr>
            <w:tcW w:type="dxa" w:w="2608"/>
          </w:tcPr>
          <w:p>
            <w:r>
              <w:rPr>
                <w:rFonts w:ascii="微软雅黑" w:hAnsi="微软雅黑" w:eastAsia="微软雅黑"/>
                <w:sz w:val="19"/>
              </w:rPr>
              <w:t>0.0062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与明文集中建模对比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匿踪查询响应</w:t>
            </w:r>
          </w:p>
        </w:tc>
        <w:tc>
          <w:tcPr>
            <w:tcW w:type="dxa" w:w="2494"/>
          </w:tcPr>
          <w:p>
            <w:r>
              <w:rPr>
                <w:rFonts w:ascii="微软雅黑" w:hAnsi="微软雅黑" w:eastAsia="微软雅黑"/>
                <w:sz w:val="19"/>
              </w:rPr>
              <w:t>≤ 300ms</w:t>
            </w:r>
          </w:p>
        </w:tc>
        <w:tc>
          <w:tcPr>
            <w:tcW w:type="dxa" w:w="2608"/>
          </w:tcPr>
          <w:p>
            <w:r>
              <w:rPr>
                <w:rFonts w:ascii="微软雅黑" w:hAnsi="微软雅黑" w:eastAsia="微软雅黑"/>
                <w:sz w:val="19"/>
              </w:rPr>
              <w:t>5.29ms（预热后）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真实 HTTP 端到端计时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审计日志留存</w:t>
            </w:r>
          </w:p>
        </w:tc>
        <w:tc>
          <w:tcPr>
            <w:tcW w:type="dxa" w:w="2494"/>
          </w:tcPr>
          <w:p>
            <w:r>
              <w:rPr>
                <w:rFonts w:ascii="微软雅黑" w:hAnsi="微软雅黑" w:eastAsia="微软雅黑"/>
                <w:sz w:val="19"/>
              </w:rPr>
              <w:t>GDPR 7 年 / PIPL 5 年 / PDPA 3 年 / CCPA 2 年</w:t>
            </w:r>
          </w:p>
        </w:tc>
        <w:tc>
          <w:tcPr>
            <w:tcW w:type="dxa" w:w="2608"/>
          </w:tcPr>
          <w:p>
            <w:r>
              <w:rPr>
                <w:rFonts w:ascii="微软雅黑" w:hAnsi="微软雅黑" w:eastAsia="微软雅黑"/>
                <w:sz w:val="19"/>
              </w:rPr>
              <w:t>按地区取最严要求自动纳入合规报告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法规库字段驱动</w:t>
            </w:r>
          </w:p>
        </w:tc>
      </w:tr>
    </w:tbl>
    <w:p/>
    <w:p>
      <w:pPr>
        <w:pStyle w:val="Heading1"/>
      </w:pPr>
      <w:r>
        <w:t>九、法规依据与覆盖面</w:t>
      </w:r>
    </w:p>
    <w:p>
      <w:r>
        <w:rPr>
          <w:rFonts w:ascii="微软雅黑" w:hAnsi="微软雅黑" w:eastAsia="微软雅黑"/>
          <w:b w:val="0"/>
        </w:rPr>
        <w:t>平台内置全球法规库用于数据分级与出境合规判定的法规依据，覆盖 224 条法规 / 218 个司法辖区，其中 37 条经人工逐条校对（含 GDPR、PIPL、数据安全法、新加坡 PDPA、美国 CCPA、Schrems II 判决、FATF 建议 16 等），其余为区域模板条目。</w:t>
      </w:r>
    </w:p>
    <w:p>
      <w:pPr>
        <w:ind w:left="227"/>
      </w:pPr>
      <w:r>
        <w:rPr>
          <w:rFonts w:ascii="微软雅黑" w:hAnsi="微软雅黑" w:eastAsia="微软雅黑"/>
          <w:i/>
          <w:color w:val="5C6B7F"/>
          <w:sz w:val="19"/>
        </w:rPr>
        <w:t>口径说明：模板条目仅用于界面提示与合规提醒，不参与任何阻断性判断；规则引擎的强制校验只使用已人工校对条目，避免以未校对数据作出阻断决定。</w:t>
      </w:r>
    </w:p>
    <w:sectPr w:rsidR="00FC693F" w:rsidRPr="0006063C" w:rsidSect="00034616">
      <w:pgSz w:w="12240" w:h="15840"/>
      <w:pgMar w:top="1361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8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5FD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5FD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27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